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79F63" w14:textId="77777777" w:rsidR="006D3275" w:rsidRDefault="00105B07">
      <w:pPr>
        <w:pStyle w:val="Heading1"/>
        <w:ind w:left="2160" w:firstLine="720"/>
        <w:rPr>
          <w:rFonts w:asciiTheme="minorHAnsi" w:hAnsiTheme="minorHAnsi" w:cstheme="minorHAnsi"/>
          <w:sz w:val="22"/>
          <w:szCs w:val="22"/>
          <w:u w:val="single"/>
        </w:rPr>
      </w:pPr>
      <w:bookmarkStart w:id="0" w:name="_Toc400361362"/>
      <w:bookmarkStart w:id="1" w:name="_Toc443397153"/>
      <w:bookmarkStart w:id="2" w:name="_Toc357771638"/>
      <w:bookmarkStart w:id="3" w:name="_Toc346793416"/>
      <w:bookmarkStart w:id="4" w:name="_Toc328122777"/>
      <w:r>
        <w:rPr>
          <w:rFonts w:asciiTheme="minorHAnsi" w:hAnsiTheme="minorHAnsi" w:cstheme="minorHAnsi"/>
          <w:sz w:val="22"/>
          <w:szCs w:val="22"/>
          <w:u w:val="singl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59EA9532" w14:textId="7E1EBF58" w:rsidR="006D3275" w:rsidRDefault="00105B07">
      <w:pPr>
        <w:pStyle w:val="Heading2"/>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This statement details our school’s use of pupil premium (and recovery premium for the 202</w:t>
      </w:r>
      <w:r w:rsidR="003444D9">
        <w:rPr>
          <w:rFonts w:asciiTheme="minorHAnsi" w:hAnsiTheme="minorHAnsi" w:cstheme="minorHAnsi"/>
          <w:b w:val="0"/>
          <w:bCs/>
          <w:color w:val="auto"/>
          <w:sz w:val="22"/>
          <w:szCs w:val="22"/>
        </w:rPr>
        <w:t>3</w:t>
      </w:r>
      <w:r>
        <w:rPr>
          <w:rFonts w:asciiTheme="minorHAnsi" w:hAnsiTheme="minorHAnsi" w:cstheme="minorHAnsi"/>
          <w:b w:val="0"/>
          <w:bCs/>
          <w:color w:val="auto"/>
          <w:sz w:val="22"/>
          <w:szCs w:val="22"/>
        </w:rPr>
        <w:t xml:space="preserve"> to 202</w:t>
      </w:r>
      <w:r w:rsidR="003444D9">
        <w:rPr>
          <w:rFonts w:asciiTheme="minorHAnsi" w:hAnsiTheme="minorHAnsi" w:cstheme="minorHAnsi"/>
          <w:b w:val="0"/>
          <w:bCs/>
          <w:color w:val="auto"/>
          <w:sz w:val="22"/>
          <w:szCs w:val="22"/>
        </w:rPr>
        <w:t>4</w:t>
      </w:r>
      <w:r>
        <w:rPr>
          <w:rFonts w:asciiTheme="minorHAnsi" w:hAnsiTheme="minorHAnsi" w:cstheme="minorHAnsi"/>
          <w:b w:val="0"/>
          <w:bCs/>
          <w:color w:val="auto"/>
          <w:sz w:val="22"/>
          <w:szCs w:val="22"/>
        </w:rPr>
        <w:t xml:space="preserve"> academic year) funding to help improve the attainment of our disadvantaged pupils. </w:t>
      </w:r>
    </w:p>
    <w:p w14:paraId="176A7F4D" w14:textId="77777777" w:rsidR="006D3275" w:rsidRDefault="00105B07">
      <w:pPr>
        <w:pStyle w:val="Heading2"/>
        <w:spacing w:before="240"/>
        <w:rPr>
          <w:rFonts w:asciiTheme="minorHAnsi" w:hAnsiTheme="minorHAnsi" w:cstheme="minorHAnsi"/>
          <w:b w:val="0"/>
          <w:bCs/>
          <w:color w:val="auto"/>
          <w:sz w:val="22"/>
          <w:szCs w:val="22"/>
        </w:rPr>
      </w:pPr>
      <w:r>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BA2622B" w14:textId="77777777" w:rsidR="006D3275" w:rsidRDefault="00105B07">
      <w:pPr>
        <w:pStyle w:val="Heading2"/>
        <w:rPr>
          <w:sz w:val="20"/>
          <w:szCs w:val="20"/>
        </w:rPr>
      </w:pPr>
      <w:r>
        <w:rPr>
          <w:sz w:val="20"/>
          <w:szCs w:val="20"/>
        </w:rPr>
        <w:t>School overview</w:t>
      </w:r>
      <w:bookmarkEnd w:id="5"/>
      <w:bookmarkEnd w:id="6"/>
      <w:bookmarkEnd w:id="7"/>
      <w:bookmarkEnd w:id="8"/>
      <w:bookmarkEnd w:id="9"/>
      <w:bookmarkEnd w:id="10"/>
      <w:bookmarkEnd w:id="11"/>
      <w:bookmarkEnd w:id="12"/>
      <w:bookmarkEnd w:id="13"/>
    </w:p>
    <w:tbl>
      <w:tblPr>
        <w:tblW w:w="5228" w:type="pct"/>
        <w:tblCellMar>
          <w:left w:w="10" w:type="dxa"/>
          <w:right w:w="10" w:type="dxa"/>
        </w:tblCellMar>
        <w:tblLook w:val="04A0" w:firstRow="1" w:lastRow="0" w:firstColumn="1" w:lastColumn="0" w:noHBand="0" w:noVBand="1"/>
      </w:tblPr>
      <w:tblGrid>
        <w:gridCol w:w="6518"/>
        <w:gridCol w:w="3401"/>
      </w:tblGrid>
      <w:tr w:rsidR="006D3275" w14:paraId="7A5A0A61"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F9D0A79" w14:textId="77777777" w:rsidR="006D3275" w:rsidRDefault="00105B07">
            <w:pPr>
              <w:pStyle w:val="TableHeader"/>
              <w:jc w:val="left"/>
              <w:rPr>
                <w:rFonts w:asciiTheme="minorHAnsi" w:hAnsiTheme="minorHAnsi" w:cstheme="minorHAnsi"/>
                <w:sz w:val="22"/>
                <w:szCs w:val="22"/>
              </w:rPr>
            </w:pPr>
            <w:r>
              <w:rPr>
                <w:rFonts w:asciiTheme="minorHAnsi" w:hAnsiTheme="minorHAnsi" w:cstheme="minorHAnsi"/>
                <w:sz w:val="22"/>
                <w:szCs w:val="22"/>
              </w:rPr>
              <w:t>Detail</w:t>
            </w:r>
          </w:p>
        </w:tc>
        <w:tc>
          <w:tcPr>
            <w:tcW w:w="340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6A7B1BA" w14:textId="77777777" w:rsidR="006D3275" w:rsidRDefault="00105B07">
            <w:pPr>
              <w:pStyle w:val="TableHeader"/>
              <w:jc w:val="left"/>
              <w:rPr>
                <w:rFonts w:asciiTheme="minorHAnsi" w:hAnsiTheme="minorHAnsi" w:cstheme="minorHAnsi"/>
                <w:sz w:val="22"/>
                <w:szCs w:val="22"/>
              </w:rPr>
            </w:pPr>
            <w:r>
              <w:rPr>
                <w:rFonts w:asciiTheme="minorHAnsi" w:hAnsiTheme="minorHAnsi" w:cstheme="minorHAnsi"/>
                <w:sz w:val="22"/>
                <w:szCs w:val="22"/>
              </w:rPr>
              <w:t>Data</w:t>
            </w:r>
          </w:p>
        </w:tc>
      </w:tr>
      <w:tr w:rsidR="006D3275" w14:paraId="724BDE5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D14F6"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School name</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A0699" w14:textId="77777777"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Chosen Hill</w:t>
            </w:r>
          </w:p>
        </w:tc>
      </w:tr>
      <w:tr w:rsidR="006D3275" w14:paraId="499EA80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A9BD" w14:textId="77777777" w:rsidR="006D3275" w:rsidRPr="003444D9" w:rsidRDefault="00105B07">
            <w:pPr>
              <w:pStyle w:val="TableRow"/>
              <w:rPr>
                <w:rFonts w:asciiTheme="minorHAnsi" w:hAnsiTheme="minorHAnsi" w:cstheme="minorHAnsi"/>
                <w:sz w:val="22"/>
                <w:szCs w:val="22"/>
              </w:rPr>
            </w:pPr>
            <w:r w:rsidRPr="003444D9">
              <w:rPr>
                <w:rFonts w:asciiTheme="minorHAnsi" w:hAnsiTheme="minorHAnsi" w:cstheme="minorHAnsi"/>
                <w:sz w:val="22"/>
                <w:szCs w:val="22"/>
              </w:rPr>
              <w:t>Number of pupils on roll</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947F" w14:textId="36C2FCB8" w:rsidR="006D3275" w:rsidRPr="003444D9" w:rsidRDefault="003444D9">
            <w:pPr>
              <w:pStyle w:val="TableRow"/>
              <w:ind w:left="0"/>
              <w:rPr>
                <w:rFonts w:asciiTheme="minorHAnsi" w:hAnsiTheme="minorHAnsi" w:cstheme="minorHAnsi"/>
                <w:color w:val="FFFFFF" w:themeColor="background1"/>
                <w:sz w:val="22"/>
                <w:szCs w:val="22"/>
              </w:rPr>
            </w:pPr>
            <w:r w:rsidRPr="003444D9">
              <w:rPr>
                <w:rFonts w:asciiTheme="minorHAnsi" w:hAnsiTheme="minorHAnsi" w:cstheme="minorHAnsi"/>
                <w:color w:val="000000" w:themeColor="text1"/>
                <w:sz w:val="22"/>
                <w:szCs w:val="22"/>
              </w:rPr>
              <w:t>1</w:t>
            </w:r>
            <w:r w:rsidR="001F194B">
              <w:rPr>
                <w:rFonts w:asciiTheme="minorHAnsi" w:hAnsiTheme="minorHAnsi" w:cstheme="minorHAnsi"/>
                <w:color w:val="000000" w:themeColor="text1"/>
                <w:sz w:val="22"/>
                <w:szCs w:val="22"/>
              </w:rPr>
              <w:t>124</w:t>
            </w:r>
          </w:p>
        </w:tc>
      </w:tr>
      <w:tr w:rsidR="006D3275" w14:paraId="160C3EF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FD600" w14:textId="77777777" w:rsidR="006D3275" w:rsidRPr="003F64F4" w:rsidRDefault="00105B07">
            <w:pPr>
              <w:pStyle w:val="TableRow"/>
              <w:rPr>
                <w:rFonts w:asciiTheme="minorHAnsi" w:hAnsiTheme="minorHAnsi" w:cstheme="minorHAnsi"/>
                <w:color w:val="FFFFFF" w:themeColor="background1"/>
                <w:sz w:val="22"/>
                <w:szCs w:val="22"/>
              </w:rPr>
            </w:pPr>
            <w:r>
              <w:rPr>
                <w:rFonts w:asciiTheme="minorHAnsi" w:hAnsiTheme="minorHAnsi" w:cstheme="minorHAnsi"/>
                <w:sz w:val="22"/>
                <w:szCs w:val="22"/>
              </w:rPr>
              <w:t>Proportion (%) of pupil premium eligible pupils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19B37" w14:textId="245AB27D" w:rsidR="006D3275" w:rsidRPr="003F64F4" w:rsidRDefault="001F194B">
            <w:pPr>
              <w:pStyle w:val="TableRow"/>
              <w:ind w:left="0"/>
              <w:rPr>
                <w:rFonts w:asciiTheme="minorHAnsi" w:hAnsiTheme="minorHAnsi" w:cstheme="minorHAnsi"/>
                <w:color w:val="FFFFFF" w:themeColor="background1"/>
                <w:sz w:val="22"/>
                <w:szCs w:val="22"/>
                <w:highlight w:val="red"/>
              </w:rPr>
            </w:pPr>
            <w:r w:rsidRPr="001F194B">
              <w:rPr>
                <w:rFonts w:asciiTheme="minorHAnsi" w:hAnsiTheme="minorHAnsi" w:cstheme="minorHAnsi"/>
                <w:color w:val="000000" w:themeColor="text1"/>
                <w:sz w:val="22"/>
                <w:szCs w:val="22"/>
              </w:rPr>
              <w:t>19.75%</w:t>
            </w:r>
          </w:p>
        </w:tc>
      </w:tr>
      <w:tr w:rsidR="006D3275" w14:paraId="313EA1E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1CC2"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Academic year/years that our current pupil premium strategy plan covers</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443EC" w14:textId="77777777"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2021 to 2024</w:t>
            </w:r>
          </w:p>
        </w:tc>
      </w:tr>
      <w:tr w:rsidR="006D3275" w14:paraId="54211AA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60DC8"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Date this statement was published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9CF5" w14:textId="253E4C6E"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December 202</w:t>
            </w:r>
            <w:r w:rsidR="003F64F4">
              <w:rPr>
                <w:rFonts w:asciiTheme="minorHAnsi" w:hAnsiTheme="minorHAnsi" w:cstheme="minorHAnsi"/>
                <w:sz w:val="22"/>
                <w:szCs w:val="22"/>
              </w:rPr>
              <w:t>3</w:t>
            </w:r>
          </w:p>
        </w:tc>
      </w:tr>
      <w:tr w:rsidR="006D3275" w14:paraId="58754F5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9371E"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Date on which it will be reviewed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42C54" w14:textId="3CFEB399"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December 202</w:t>
            </w:r>
            <w:r w:rsidR="003F64F4">
              <w:rPr>
                <w:rFonts w:asciiTheme="minorHAnsi" w:hAnsiTheme="minorHAnsi" w:cstheme="minorHAnsi"/>
                <w:sz w:val="22"/>
                <w:szCs w:val="22"/>
              </w:rPr>
              <w:t>4</w:t>
            </w:r>
          </w:p>
        </w:tc>
      </w:tr>
      <w:tr w:rsidR="006D3275" w14:paraId="63C332E8"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242C8"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Statement authorised by</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8BBA2" w14:textId="77777777"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M Pauling</w:t>
            </w:r>
          </w:p>
        </w:tc>
      </w:tr>
      <w:tr w:rsidR="006D3275" w14:paraId="763D115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CE30"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Pupil premium lead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6F475" w14:textId="77777777"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W Witham</w:t>
            </w:r>
          </w:p>
        </w:tc>
      </w:tr>
      <w:tr w:rsidR="006D3275" w14:paraId="11B0090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FBCA2"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Governor / Trustee lead</w:t>
            </w:r>
          </w:p>
        </w:tc>
        <w:tc>
          <w:tcPr>
            <w:tcW w:w="34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4DF7" w14:textId="77777777"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Learning &amp; Outcomes Chair</w:t>
            </w:r>
          </w:p>
        </w:tc>
      </w:tr>
    </w:tbl>
    <w:bookmarkEnd w:id="2"/>
    <w:bookmarkEnd w:id="3"/>
    <w:bookmarkEnd w:id="4"/>
    <w:p w14:paraId="2955F9AD" w14:textId="77777777" w:rsidR="006D3275" w:rsidRDefault="00105B07">
      <w:pPr>
        <w:spacing w:before="480" w:line="240" w:lineRule="auto"/>
        <w:rPr>
          <w:rFonts w:asciiTheme="minorHAnsi" w:hAnsiTheme="minorHAnsi" w:cstheme="minorHAnsi"/>
          <w:b/>
          <w:color w:val="104F75"/>
          <w:sz w:val="22"/>
          <w:szCs w:val="22"/>
        </w:rPr>
      </w:pPr>
      <w:r>
        <w:rPr>
          <w:rFonts w:asciiTheme="minorHAnsi" w:hAnsiTheme="minorHAnsi" w:cstheme="minorHAnsi"/>
          <w:b/>
          <w:color w:val="104F75"/>
          <w:sz w:val="22"/>
          <w:szCs w:val="22"/>
        </w:rPr>
        <w:t>Funding overview</w:t>
      </w:r>
    </w:p>
    <w:tbl>
      <w:tblPr>
        <w:tblW w:w="9918" w:type="dxa"/>
        <w:tblCellMar>
          <w:left w:w="10" w:type="dxa"/>
          <w:right w:w="10" w:type="dxa"/>
        </w:tblCellMar>
        <w:tblLook w:val="04A0" w:firstRow="1" w:lastRow="0" w:firstColumn="1" w:lastColumn="0" w:noHBand="0" w:noVBand="1"/>
      </w:tblPr>
      <w:tblGrid>
        <w:gridCol w:w="6516"/>
        <w:gridCol w:w="3402"/>
      </w:tblGrid>
      <w:tr w:rsidR="006D3275" w14:paraId="084D693B"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2582FEC" w14:textId="77777777" w:rsidR="006D3275" w:rsidRDefault="00105B07">
            <w:pPr>
              <w:pStyle w:val="TableRow"/>
              <w:rPr>
                <w:rFonts w:asciiTheme="minorHAnsi" w:hAnsiTheme="minorHAnsi" w:cstheme="minorHAnsi"/>
                <w:sz w:val="22"/>
                <w:szCs w:val="22"/>
              </w:rPr>
            </w:pPr>
            <w:r>
              <w:rPr>
                <w:rFonts w:asciiTheme="minorHAnsi" w:hAnsiTheme="minorHAnsi" w:cstheme="minorHAnsi"/>
                <w:b/>
                <w:sz w:val="22"/>
                <w:szCs w:val="22"/>
              </w:rPr>
              <w:t>Detail</w:t>
            </w:r>
          </w:p>
        </w:tc>
        <w:tc>
          <w:tcPr>
            <w:tcW w:w="340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6C3354E9" w14:textId="77777777" w:rsidR="006D3275" w:rsidRDefault="00105B07">
            <w:pPr>
              <w:pStyle w:val="TableRow"/>
              <w:rPr>
                <w:rFonts w:asciiTheme="minorHAnsi" w:hAnsiTheme="minorHAnsi" w:cstheme="minorHAnsi"/>
                <w:sz w:val="22"/>
                <w:szCs w:val="22"/>
              </w:rPr>
            </w:pPr>
            <w:r>
              <w:rPr>
                <w:rFonts w:asciiTheme="minorHAnsi" w:hAnsiTheme="minorHAnsi" w:cstheme="minorHAnsi"/>
                <w:b/>
                <w:sz w:val="22"/>
                <w:szCs w:val="22"/>
              </w:rPr>
              <w:t>Amount</w:t>
            </w:r>
          </w:p>
        </w:tc>
      </w:tr>
      <w:tr w:rsidR="006D3275" w14:paraId="0FC96EA2"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B635"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Pupil premium funding allocation this academic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C474" w14:textId="56D645B9" w:rsidR="006D3275" w:rsidRPr="003444D9" w:rsidRDefault="00105B07">
            <w:pPr>
              <w:pStyle w:val="TableRow"/>
              <w:rPr>
                <w:rFonts w:asciiTheme="minorHAnsi" w:hAnsiTheme="minorHAnsi" w:cstheme="minorHAnsi"/>
                <w:color w:val="000000" w:themeColor="text1"/>
                <w:sz w:val="22"/>
                <w:szCs w:val="22"/>
              </w:rPr>
            </w:pPr>
            <w:r w:rsidRPr="003444D9">
              <w:rPr>
                <w:rFonts w:asciiTheme="minorHAnsi" w:hAnsiTheme="minorHAnsi" w:cstheme="minorHAnsi"/>
                <w:color w:val="000000" w:themeColor="text1"/>
                <w:sz w:val="22"/>
                <w:szCs w:val="22"/>
              </w:rPr>
              <w:t>£2</w:t>
            </w:r>
            <w:r w:rsidR="00CA1C20">
              <w:rPr>
                <w:rFonts w:asciiTheme="minorHAnsi" w:hAnsiTheme="minorHAnsi" w:cstheme="minorHAnsi"/>
                <w:color w:val="000000" w:themeColor="text1"/>
                <w:sz w:val="22"/>
                <w:szCs w:val="22"/>
              </w:rPr>
              <w:t>57,960</w:t>
            </w:r>
          </w:p>
        </w:tc>
      </w:tr>
      <w:tr w:rsidR="006D3275" w14:paraId="6B6C64FA"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792FA" w14:textId="77777777" w:rsidR="006D3275" w:rsidRDefault="00105B07">
            <w:pPr>
              <w:pStyle w:val="TableRow"/>
              <w:rPr>
                <w:rFonts w:asciiTheme="minorHAnsi" w:hAnsiTheme="minorHAnsi" w:cstheme="minorHAnsi"/>
                <w:b/>
                <w:sz w:val="22"/>
                <w:szCs w:val="22"/>
              </w:rPr>
            </w:pPr>
            <w:r>
              <w:rPr>
                <w:rFonts w:asciiTheme="minorHAnsi" w:hAnsiTheme="minorHAnsi" w:cstheme="minorHAnsi"/>
                <w:sz w:val="22"/>
                <w:szCs w:val="22"/>
              </w:rPr>
              <w:t>Recovery premium funding brought forward from previous year</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E4010" w14:textId="71A03270" w:rsidR="006D3275" w:rsidRPr="003444D9" w:rsidRDefault="00105B07">
            <w:pPr>
              <w:pStyle w:val="TableRow"/>
              <w:rPr>
                <w:rFonts w:asciiTheme="minorHAnsi" w:hAnsiTheme="minorHAnsi" w:cstheme="minorHAnsi"/>
                <w:color w:val="000000" w:themeColor="text1"/>
                <w:sz w:val="22"/>
                <w:szCs w:val="22"/>
              </w:rPr>
            </w:pPr>
            <w:r w:rsidRPr="003444D9">
              <w:rPr>
                <w:rFonts w:asciiTheme="minorHAnsi" w:hAnsiTheme="minorHAnsi" w:cstheme="minorHAnsi"/>
                <w:color w:val="000000" w:themeColor="text1"/>
                <w:sz w:val="22"/>
                <w:szCs w:val="22"/>
              </w:rPr>
              <w:t>£</w:t>
            </w:r>
            <w:r w:rsidR="00F82CED">
              <w:rPr>
                <w:rFonts w:asciiTheme="minorHAnsi" w:hAnsiTheme="minorHAnsi" w:cstheme="minorHAnsi"/>
                <w:color w:val="000000" w:themeColor="text1"/>
                <w:sz w:val="22"/>
                <w:szCs w:val="22"/>
              </w:rPr>
              <w:t>62,100</w:t>
            </w:r>
          </w:p>
        </w:tc>
      </w:tr>
      <w:tr w:rsidR="003444D9" w14:paraId="1B6368E4"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D5539" w14:textId="7B9DD5B8" w:rsidR="003444D9" w:rsidRDefault="003444D9" w:rsidP="003444D9">
            <w:pPr>
              <w:pStyle w:val="TableRow"/>
              <w:rPr>
                <w:rFonts w:asciiTheme="minorHAnsi" w:hAnsiTheme="minorHAnsi" w:cstheme="minorHAnsi"/>
                <w:b/>
                <w:sz w:val="22"/>
                <w:szCs w:val="22"/>
              </w:rPr>
            </w:pPr>
            <w:r>
              <w:rPr>
                <w:rFonts w:asciiTheme="minorHAnsi" w:hAnsiTheme="minorHAnsi" w:cstheme="minorHAnsi"/>
                <w:b/>
                <w:sz w:val="22"/>
                <w:szCs w:val="22"/>
              </w:rPr>
              <w:t xml:space="preserve">Total </w:t>
            </w:r>
            <w:r w:rsidR="00F82CED">
              <w:rPr>
                <w:rFonts w:asciiTheme="minorHAnsi" w:hAnsiTheme="minorHAnsi" w:cstheme="minorHAnsi"/>
                <w:b/>
                <w:sz w:val="22"/>
                <w:szCs w:val="22"/>
              </w:rPr>
              <w:t xml:space="preserve">forecast </w:t>
            </w:r>
            <w:r>
              <w:rPr>
                <w:rFonts w:asciiTheme="minorHAnsi" w:hAnsiTheme="minorHAnsi" w:cstheme="minorHAnsi"/>
                <w:b/>
                <w:sz w:val="22"/>
                <w:szCs w:val="22"/>
              </w:rPr>
              <w:t>budget for this academic year</w:t>
            </w:r>
          </w:p>
          <w:p w14:paraId="5D889FC1" w14:textId="77777777" w:rsidR="003444D9" w:rsidRDefault="003444D9" w:rsidP="003444D9">
            <w:pPr>
              <w:pStyle w:val="TableRow"/>
              <w:rPr>
                <w:rFonts w:asciiTheme="minorHAnsi" w:hAnsiTheme="minorHAnsi" w:cstheme="minorHAnsi"/>
                <w:b/>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589C6" w14:textId="39694BD0" w:rsidR="003444D9" w:rsidRPr="003444D9" w:rsidRDefault="003444D9" w:rsidP="003444D9">
            <w:pPr>
              <w:pStyle w:val="TableRow"/>
              <w:rPr>
                <w:rFonts w:asciiTheme="minorHAnsi" w:hAnsiTheme="minorHAnsi" w:cstheme="minorHAnsi"/>
                <w:color w:val="000000" w:themeColor="text1"/>
                <w:sz w:val="22"/>
                <w:szCs w:val="22"/>
              </w:rPr>
            </w:pPr>
            <w:r w:rsidRPr="003444D9">
              <w:rPr>
                <w:rFonts w:asciiTheme="minorHAnsi" w:hAnsiTheme="minorHAnsi" w:cstheme="minorHAnsi"/>
                <w:color w:val="000000" w:themeColor="text1"/>
                <w:sz w:val="22"/>
                <w:szCs w:val="22"/>
              </w:rPr>
              <w:t>£</w:t>
            </w:r>
            <w:r w:rsidR="00CA1C20">
              <w:rPr>
                <w:rFonts w:asciiTheme="minorHAnsi" w:hAnsiTheme="minorHAnsi" w:cstheme="minorHAnsi"/>
                <w:color w:val="000000" w:themeColor="text1"/>
                <w:sz w:val="22"/>
                <w:szCs w:val="22"/>
              </w:rPr>
              <w:t>320,060</w:t>
            </w:r>
          </w:p>
        </w:tc>
      </w:tr>
    </w:tbl>
    <w:p w14:paraId="01781C11" w14:textId="77777777" w:rsidR="006D3275" w:rsidRDefault="00105B07">
      <w:pPr>
        <w:pStyle w:val="Heading1"/>
        <w:rPr>
          <w:sz w:val="20"/>
          <w:szCs w:val="20"/>
        </w:rPr>
      </w:pPr>
      <w:r>
        <w:rPr>
          <w:sz w:val="20"/>
          <w:szCs w:val="20"/>
        </w:rPr>
        <w:lastRenderedPageBreak/>
        <w:t>Part A: Pupil premium strategy plan</w:t>
      </w:r>
    </w:p>
    <w:p w14:paraId="77D97B15" w14:textId="77777777" w:rsidR="006D3275" w:rsidRDefault="00105B07">
      <w:pPr>
        <w:pStyle w:val="Heading2"/>
        <w:rPr>
          <w:sz w:val="20"/>
          <w:szCs w:val="20"/>
        </w:rPr>
      </w:pPr>
      <w:bookmarkStart w:id="14" w:name="_Toc357771640"/>
      <w:bookmarkStart w:id="15" w:name="_Toc346793418"/>
      <w:r>
        <w:rPr>
          <w:sz w:val="20"/>
          <w:szCs w:val="20"/>
        </w:rPr>
        <w:t>Statement of intent</w:t>
      </w:r>
    </w:p>
    <w:tbl>
      <w:tblPr>
        <w:tblW w:w="9486" w:type="dxa"/>
        <w:tblCellMar>
          <w:left w:w="10" w:type="dxa"/>
          <w:right w:w="10" w:type="dxa"/>
        </w:tblCellMar>
        <w:tblLook w:val="04A0" w:firstRow="1" w:lastRow="0" w:firstColumn="1" w:lastColumn="0" w:noHBand="0" w:noVBand="1"/>
      </w:tblPr>
      <w:tblGrid>
        <w:gridCol w:w="9486"/>
      </w:tblGrid>
      <w:tr w:rsidR="006D3275" w14:paraId="4D724014"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3DCB3" w14:textId="77777777" w:rsidR="006D3275" w:rsidRDefault="00105B07">
            <w:pPr>
              <w:rPr>
                <w:rFonts w:asciiTheme="minorHAnsi" w:hAnsiTheme="minorHAnsi" w:cstheme="minorHAnsi"/>
                <w:b/>
                <w:iCs/>
                <w:color w:val="auto"/>
                <w:sz w:val="22"/>
                <w:szCs w:val="22"/>
              </w:rPr>
            </w:pPr>
            <w:r>
              <w:rPr>
                <w:rFonts w:asciiTheme="minorHAnsi" w:hAnsiTheme="minorHAnsi" w:cstheme="minorHAnsi"/>
                <w:b/>
                <w:iCs/>
                <w:color w:val="auto"/>
                <w:sz w:val="22"/>
                <w:szCs w:val="22"/>
              </w:rPr>
              <w:t>Objectives for our PP pupils:</w:t>
            </w:r>
          </w:p>
          <w:p w14:paraId="45469F03" w14:textId="5308279E" w:rsidR="006D3275" w:rsidRDefault="004D3969">
            <w:pPr>
              <w:pStyle w:val="ListParagraph"/>
              <w:numPr>
                <w:ilvl w:val="0"/>
                <w:numId w:val="15"/>
              </w:numPr>
              <w:rPr>
                <w:rFonts w:asciiTheme="minorHAnsi" w:hAnsiTheme="minorHAnsi" w:cstheme="minorHAnsi"/>
                <w:iCs/>
                <w:color w:val="auto"/>
                <w:sz w:val="22"/>
                <w:szCs w:val="22"/>
              </w:rPr>
            </w:pPr>
            <w:r>
              <w:rPr>
                <w:rFonts w:asciiTheme="minorHAnsi" w:hAnsiTheme="minorHAnsi" w:cstheme="minorHAnsi"/>
                <w:iCs/>
                <w:color w:val="auto"/>
                <w:sz w:val="22"/>
                <w:szCs w:val="22"/>
              </w:rPr>
              <w:t>The majority of</w:t>
            </w:r>
            <w:r w:rsidR="00105B07">
              <w:rPr>
                <w:rFonts w:asciiTheme="minorHAnsi" w:hAnsiTheme="minorHAnsi" w:cstheme="minorHAnsi"/>
                <w:iCs/>
                <w:color w:val="auto"/>
                <w:sz w:val="22"/>
                <w:szCs w:val="22"/>
              </w:rPr>
              <w:t xml:space="preserve"> students should achieve their FFT target grades – based on 20</w:t>
            </w:r>
            <w:r w:rsidR="00105B07">
              <w:rPr>
                <w:rFonts w:asciiTheme="minorHAnsi" w:hAnsiTheme="minorHAnsi" w:cstheme="minorHAnsi"/>
                <w:iCs/>
                <w:color w:val="auto"/>
                <w:sz w:val="22"/>
                <w:szCs w:val="22"/>
                <w:vertAlign w:val="superscript"/>
              </w:rPr>
              <w:t>th</w:t>
            </w:r>
            <w:r w:rsidR="00105B07">
              <w:rPr>
                <w:rFonts w:asciiTheme="minorHAnsi" w:hAnsiTheme="minorHAnsi" w:cstheme="minorHAnsi"/>
                <w:iCs/>
                <w:color w:val="auto"/>
                <w:sz w:val="22"/>
                <w:szCs w:val="22"/>
              </w:rPr>
              <w:t xml:space="preserve"> percentile expectations to achieve parity against national non-PP cohort. </w:t>
            </w:r>
          </w:p>
          <w:p w14:paraId="414F03CA" w14:textId="1F2F01B3" w:rsidR="006D3275" w:rsidRDefault="00105B07">
            <w:pPr>
              <w:pStyle w:val="ListParagraph"/>
              <w:numPr>
                <w:ilvl w:val="0"/>
                <w:numId w:val="15"/>
              </w:numPr>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Attainment 8 and Basics: </w:t>
            </w:r>
            <w:r w:rsidR="004D3969">
              <w:rPr>
                <w:rFonts w:asciiTheme="minorHAnsi" w:hAnsiTheme="minorHAnsi" w:cstheme="minorHAnsi"/>
                <w:iCs/>
                <w:color w:val="auto"/>
                <w:sz w:val="22"/>
                <w:szCs w:val="22"/>
              </w:rPr>
              <w:t xml:space="preserve">The majority of the </w:t>
            </w:r>
            <w:r>
              <w:rPr>
                <w:rFonts w:asciiTheme="minorHAnsi" w:hAnsiTheme="minorHAnsi" w:cstheme="minorHAnsi"/>
                <w:iCs/>
                <w:color w:val="auto"/>
                <w:sz w:val="22"/>
                <w:szCs w:val="22"/>
              </w:rPr>
              <w:t>Pupil Premium cohorts will</w:t>
            </w:r>
            <w:r w:rsidR="004D3969">
              <w:rPr>
                <w:rFonts w:asciiTheme="minorHAnsi" w:hAnsiTheme="minorHAnsi" w:cstheme="minorHAnsi"/>
                <w:iCs/>
                <w:color w:val="auto"/>
                <w:sz w:val="22"/>
                <w:szCs w:val="22"/>
              </w:rPr>
              <w:t xml:space="preserve">, on </w:t>
            </w:r>
            <w:proofErr w:type="gramStart"/>
            <w:r w:rsidR="004D3969">
              <w:rPr>
                <w:rFonts w:asciiTheme="minorHAnsi" w:hAnsiTheme="minorHAnsi" w:cstheme="minorHAnsi"/>
                <w:iCs/>
                <w:color w:val="auto"/>
                <w:sz w:val="22"/>
                <w:szCs w:val="22"/>
              </w:rPr>
              <w:t xml:space="preserve">average, </w:t>
            </w:r>
            <w:r>
              <w:rPr>
                <w:rFonts w:asciiTheme="minorHAnsi" w:hAnsiTheme="minorHAnsi" w:cstheme="minorHAnsi"/>
                <w:iCs/>
                <w:color w:val="auto"/>
                <w:sz w:val="22"/>
                <w:szCs w:val="22"/>
              </w:rPr>
              <w:t xml:space="preserve"> achieve</w:t>
            </w:r>
            <w:proofErr w:type="gramEnd"/>
            <w:r>
              <w:rPr>
                <w:rFonts w:asciiTheme="minorHAnsi" w:hAnsiTheme="minorHAnsi" w:cstheme="minorHAnsi"/>
                <w:iCs/>
                <w:color w:val="auto"/>
                <w:sz w:val="22"/>
                <w:szCs w:val="22"/>
              </w:rPr>
              <w:t xml:space="preserve"> in line with their expectations, based on FFT 20th percentile – over the next three years this means</w:t>
            </w:r>
            <w:r w:rsidR="004D3969">
              <w:rPr>
                <w:rFonts w:asciiTheme="minorHAnsi" w:hAnsiTheme="minorHAnsi" w:cstheme="minorHAnsi"/>
                <w:iCs/>
                <w:color w:val="auto"/>
                <w:sz w:val="22"/>
                <w:szCs w:val="22"/>
              </w:rPr>
              <w:t>. Although in 2023/24 this will be reviewed in light of no SATs</w:t>
            </w:r>
            <w:r>
              <w:rPr>
                <w:rFonts w:asciiTheme="minorHAnsi" w:hAnsiTheme="minorHAnsi" w:cstheme="minorHAnsi"/>
                <w:iCs/>
                <w:color w:val="auto"/>
                <w:sz w:val="22"/>
                <w:szCs w:val="22"/>
              </w:rPr>
              <w:t>:</w:t>
            </w:r>
          </w:p>
          <w:tbl>
            <w:tblPr>
              <w:tblStyle w:val="TableGrid"/>
              <w:tblW w:w="0" w:type="auto"/>
              <w:tblInd w:w="720" w:type="dxa"/>
              <w:tblLook w:val="04A0" w:firstRow="1" w:lastRow="0" w:firstColumn="1" w:lastColumn="0" w:noHBand="0" w:noVBand="1"/>
            </w:tblPr>
            <w:tblGrid>
              <w:gridCol w:w="3136"/>
              <w:gridCol w:w="1801"/>
              <w:gridCol w:w="1801"/>
            </w:tblGrid>
            <w:tr w:rsidR="006D3275" w14:paraId="5440C839" w14:textId="77777777">
              <w:tc>
                <w:tcPr>
                  <w:tcW w:w="3136" w:type="dxa"/>
                </w:tcPr>
                <w:p w14:paraId="0F514416" w14:textId="77777777" w:rsidR="006D3275" w:rsidRDefault="006D3275">
                  <w:pPr>
                    <w:pStyle w:val="ListParagraph"/>
                    <w:numPr>
                      <w:ilvl w:val="0"/>
                      <w:numId w:val="0"/>
                    </w:numPr>
                    <w:rPr>
                      <w:rFonts w:asciiTheme="minorHAnsi" w:hAnsiTheme="minorHAnsi" w:cstheme="minorHAnsi"/>
                      <w:iCs/>
                      <w:color w:val="auto"/>
                      <w:sz w:val="22"/>
                      <w:szCs w:val="22"/>
                    </w:rPr>
                  </w:pPr>
                </w:p>
              </w:tc>
              <w:tc>
                <w:tcPr>
                  <w:tcW w:w="1801" w:type="dxa"/>
                </w:tcPr>
                <w:p w14:paraId="3BADC274" w14:textId="45ED730F" w:rsidR="006D3275" w:rsidRPr="004D3969" w:rsidRDefault="00105B07">
                  <w:pPr>
                    <w:pStyle w:val="ListParagraph"/>
                    <w:numPr>
                      <w:ilvl w:val="0"/>
                      <w:numId w:val="0"/>
                    </w:numPr>
                    <w:rPr>
                      <w:rFonts w:asciiTheme="minorHAnsi" w:hAnsiTheme="minorHAnsi" w:cstheme="minorHAnsi"/>
                      <w:b/>
                      <w:iCs/>
                      <w:color w:val="000000" w:themeColor="text1"/>
                      <w:sz w:val="22"/>
                      <w:szCs w:val="22"/>
                    </w:rPr>
                  </w:pPr>
                  <w:r w:rsidRPr="004D3969">
                    <w:rPr>
                      <w:rFonts w:asciiTheme="minorHAnsi" w:hAnsiTheme="minorHAnsi" w:cstheme="minorHAnsi"/>
                      <w:b/>
                      <w:iCs/>
                      <w:color w:val="000000" w:themeColor="text1"/>
                      <w:sz w:val="22"/>
                      <w:szCs w:val="22"/>
                    </w:rPr>
                    <w:t xml:space="preserve">2023 </w:t>
                  </w:r>
                </w:p>
              </w:tc>
              <w:tc>
                <w:tcPr>
                  <w:tcW w:w="1801" w:type="dxa"/>
                </w:tcPr>
                <w:p w14:paraId="1409BA67" w14:textId="3146D58C" w:rsidR="006D3275" w:rsidRPr="004D3969" w:rsidRDefault="00105B07">
                  <w:pPr>
                    <w:pStyle w:val="ListParagraph"/>
                    <w:numPr>
                      <w:ilvl w:val="0"/>
                      <w:numId w:val="0"/>
                    </w:numPr>
                    <w:rPr>
                      <w:rFonts w:asciiTheme="minorHAnsi" w:hAnsiTheme="minorHAnsi" w:cstheme="minorHAnsi"/>
                      <w:b/>
                      <w:iCs/>
                      <w:color w:val="000000" w:themeColor="text1"/>
                      <w:sz w:val="22"/>
                      <w:szCs w:val="22"/>
                    </w:rPr>
                  </w:pPr>
                  <w:r w:rsidRPr="004D3969">
                    <w:rPr>
                      <w:rFonts w:asciiTheme="minorHAnsi" w:hAnsiTheme="minorHAnsi" w:cstheme="minorHAnsi"/>
                      <w:b/>
                      <w:iCs/>
                      <w:color w:val="000000" w:themeColor="text1"/>
                      <w:sz w:val="22"/>
                      <w:szCs w:val="22"/>
                    </w:rPr>
                    <w:t xml:space="preserve">2024 </w:t>
                  </w:r>
                </w:p>
              </w:tc>
            </w:tr>
            <w:tr w:rsidR="006D3275" w14:paraId="27292DDC" w14:textId="77777777">
              <w:tc>
                <w:tcPr>
                  <w:tcW w:w="3136" w:type="dxa"/>
                </w:tcPr>
                <w:p w14:paraId="544E257F" w14:textId="77777777" w:rsidR="006D3275" w:rsidRDefault="00105B07">
                  <w:pPr>
                    <w:pStyle w:val="ListParagraph"/>
                    <w:numPr>
                      <w:ilvl w:val="0"/>
                      <w:numId w:val="0"/>
                    </w:numPr>
                    <w:rPr>
                      <w:rFonts w:asciiTheme="minorHAnsi" w:hAnsiTheme="minorHAnsi" w:cstheme="minorHAnsi"/>
                      <w:b/>
                      <w:iCs/>
                      <w:color w:val="auto"/>
                      <w:sz w:val="22"/>
                      <w:szCs w:val="22"/>
                    </w:rPr>
                  </w:pPr>
                  <w:r>
                    <w:rPr>
                      <w:rFonts w:asciiTheme="minorHAnsi" w:hAnsiTheme="minorHAnsi" w:cstheme="minorHAnsi"/>
                      <w:b/>
                      <w:iCs/>
                      <w:color w:val="auto"/>
                      <w:sz w:val="22"/>
                      <w:szCs w:val="22"/>
                    </w:rPr>
                    <w:t>Average Attainment 8</w:t>
                  </w:r>
                </w:p>
              </w:tc>
              <w:tc>
                <w:tcPr>
                  <w:tcW w:w="1801" w:type="dxa"/>
                </w:tcPr>
                <w:p w14:paraId="55015D77" w14:textId="77777777" w:rsidR="006D3275" w:rsidRPr="004D3969" w:rsidRDefault="00105B07">
                  <w:pPr>
                    <w:pStyle w:val="ListParagraph"/>
                    <w:numPr>
                      <w:ilvl w:val="0"/>
                      <w:numId w:val="0"/>
                    </w:numPr>
                    <w:rPr>
                      <w:rFonts w:asciiTheme="minorHAnsi" w:hAnsiTheme="minorHAnsi" w:cstheme="minorHAnsi"/>
                      <w:iCs/>
                      <w:color w:val="000000" w:themeColor="text1"/>
                      <w:sz w:val="22"/>
                      <w:szCs w:val="22"/>
                    </w:rPr>
                  </w:pPr>
                  <w:r w:rsidRPr="004D3969">
                    <w:rPr>
                      <w:rFonts w:asciiTheme="minorHAnsi" w:hAnsiTheme="minorHAnsi" w:cstheme="minorHAnsi"/>
                      <w:iCs/>
                      <w:color w:val="000000" w:themeColor="text1"/>
                      <w:sz w:val="22"/>
                      <w:szCs w:val="22"/>
                    </w:rPr>
                    <w:t>45.4</w:t>
                  </w:r>
                </w:p>
              </w:tc>
              <w:tc>
                <w:tcPr>
                  <w:tcW w:w="1801" w:type="dxa"/>
                </w:tcPr>
                <w:p w14:paraId="306B8063" w14:textId="5E2A7ADA" w:rsidR="006D3275" w:rsidRPr="004D3969" w:rsidRDefault="00105B07">
                  <w:pPr>
                    <w:pStyle w:val="ListParagraph"/>
                    <w:numPr>
                      <w:ilvl w:val="0"/>
                      <w:numId w:val="0"/>
                    </w:numPr>
                    <w:rPr>
                      <w:rFonts w:asciiTheme="minorHAnsi" w:hAnsiTheme="minorHAnsi" w:cstheme="minorHAnsi"/>
                      <w:iCs/>
                      <w:color w:val="000000" w:themeColor="text1"/>
                      <w:sz w:val="22"/>
                      <w:szCs w:val="22"/>
                    </w:rPr>
                  </w:pPr>
                  <w:r w:rsidRPr="004D3969">
                    <w:rPr>
                      <w:rFonts w:asciiTheme="minorHAnsi" w:hAnsiTheme="minorHAnsi" w:cstheme="minorHAnsi"/>
                      <w:iCs/>
                      <w:color w:val="000000" w:themeColor="text1"/>
                      <w:sz w:val="22"/>
                      <w:szCs w:val="22"/>
                    </w:rPr>
                    <w:t>4</w:t>
                  </w:r>
                  <w:r w:rsidR="004D3969">
                    <w:rPr>
                      <w:rFonts w:asciiTheme="minorHAnsi" w:hAnsiTheme="minorHAnsi" w:cstheme="minorHAnsi"/>
                      <w:iCs/>
                      <w:color w:val="000000" w:themeColor="text1"/>
                      <w:sz w:val="22"/>
                      <w:szCs w:val="22"/>
                    </w:rPr>
                    <w:t>6</w:t>
                  </w:r>
                  <w:r w:rsidRPr="004D3969">
                    <w:rPr>
                      <w:rFonts w:asciiTheme="minorHAnsi" w:hAnsiTheme="minorHAnsi" w:cstheme="minorHAnsi"/>
                      <w:iCs/>
                      <w:color w:val="000000" w:themeColor="text1"/>
                      <w:sz w:val="22"/>
                      <w:szCs w:val="22"/>
                    </w:rPr>
                    <w:t>.44</w:t>
                  </w:r>
                </w:p>
              </w:tc>
            </w:tr>
            <w:tr w:rsidR="006D3275" w14:paraId="178F2A0C" w14:textId="77777777">
              <w:tc>
                <w:tcPr>
                  <w:tcW w:w="3136" w:type="dxa"/>
                </w:tcPr>
                <w:p w14:paraId="71D106DE" w14:textId="77777777" w:rsidR="006D3275" w:rsidRDefault="00105B07">
                  <w:pPr>
                    <w:pStyle w:val="ListParagraph"/>
                    <w:numPr>
                      <w:ilvl w:val="0"/>
                      <w:numId w:val="0"/>
                    </w:numPr>
                    <w:rPr>
                      <w:rFonts w:asciiTheme="minorHAnsi" w:hAnsiTheme="minorHAnsi" w:cstheme="minorHAnsi"/>
                      <w:b/>
                      <w:iCs/>
                      <w:color w:val="auto"/>
                      <w:sz w:val="22"/>
                      <w:szCs w:val="22"/>
                    </w:rPr>
                  </w:pPr>
                  <w:r>
                    <w:rPr>
                      <w:rFonts w:asciiTheme="minorHAnsi" w:hAnsiTheme="minorHAnsi" w:cstheme="minorHAnsi"/>
                      <w:b/>
                      <w:iCs/>
                      <w:color w:val="auto"/>
                      <w:sz w:val="22"/>
                      <w:szCs w:val="22"/>
                    </w:rPr>
                    <w:t>% GCSEs: Grade 4+ En / Ma</w:t>
                  </w:r>
                </w:p>
                <w:p w14:paraId="7B016A75" w14:textId="77777777" w:rsidR="006D3275" w:rsidRDefault="00105B07">
                  <w:pPr>
                    <w:pStyle w:val="ListParagraph"/>
                    <w:numPr>
                      <w:ilvl w:val="0"/>
                      <w:numId w:val="0"/>
                    </w:numPr>
                    <w:rPr>
                      <w:rFonts w:asciiTheme="minorHAnsi" w:hAnsiTheme="minorHAnsi" w:cstheme="minorHAnsi"/>
                      <w:b/>
                      <w:iCs/>
                      <w:color w:val="auto"/>
                      <w:sz w:val="22"/>
                      <w:szCs w:val="22"/>
                    </w:rPr>
                  </w:pPr>
                  <w:r>
                    <w:rPr>
                      <w:rFonts w:asciiTheme="minorHAnsi" w:hAnsiTheme="minorHAnsi" w:cstheme="minorHAnsi"/>
                      <w:b/>
                      <w:iCs/>
                      <w:color w:val="auto"/>
                      <w:sz w:val="22"/>
                      <w:szCs w:val="22"/>
                    </w:rPr>
                    <w:t>% GCSEs: Grade 5 + En/Ma</w:t>
                  </w:r>
                </w:p>
              </w:tc>
              <w:tc>
                <w:tcPr>
                  <w:tcW w:w="1801" w:type="dxa"/>
                </w:tcPr>
                <w:p w14:paraId="005DF56E" w14:textId="4CA861D3" w:rsidR="006D3275" w:rsidRPr="004D3969" w:rsidRDefault="004D3969">
                  <w:pPr>
                    <w:pStyle w:val="ListParagraph"/>
                    <w:numPr>
                      <w:ilvl w:val="0"/>
                      <w:numId w:val="0"/>
                    </w:numP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76</w:t>
                  </w:r>
                  <w:r w:rsidR="00105B07" w:rsidRPr="004D3969">
                    <w:rPr>
                      <w:rFonts w:asciiTheme="minorHAnsi" w:hAnsiTheme="minorHAnsi" w:cstheme="minorHAnsi"/>
                      <w:iCs/>
                      <w:color w:val="000000" w:themeColor="text1"/>
                      <w:sz w:val="22"/>
                      <w:szCs w:val="22"/>
                    </w:rPr>
                    <w:t>%</w:t>
                  </w:r>
                </w:p>
                <w:p w14:paraId="2F9D383B" w14:textId="38A8DE08" w:rsidR="006D3275" w:rsidRPr="004D3969" w:rsidRDefault="00105B07">
                  <w:pPr>
                    <w:pStyle w:val="ListParagraph"/>
                    <w:numPr>
                      <w:ilvl w:val="0"/>
                      <w:numId w:val="0"/>
                    </w:numPr>
                    <w:rPr>
                      <w:rFonts w:asciiTheme="minorHAnsi" w:hAnsiTheme="minorHAnsi" w:cstheme="minorHAnsi"/>
                      <w:iCs/>
                      <w:color w:val="000000" w:themeColor="text1"/>
                      <w:sz w:val="22"/>
                      <w:szCs w:val="22"/>
                    </w:rPr>
                  </w:pPr>
                  <w:r w:rsidRPr="004D3969">
                    <w:rPr>
                      <w:rFonts w:asciiTheme="minorHAnsi" w:hAnsiTheme="minorHAnsi" w:cstheme="minorHAnsi"/>
                      <w:iCs/>
                      <w:color w:val="000000" w:themeColor="text1"/>
                      <w:sz w:val="22"/>
                      <w:szCs w:val="22"/>
                    </w:rPr>
                    <w:t>4</w:t>
                  </w:r>
                  <w:r w:rsidR="004D3969">
                    <w:rPr>
                      <w:rFonts w:asciiTheme="minorHAnsi" w:hAnsiTheme="minorHAnsi" w:cstheme="minorHAnsi"/>
                      <w:iCs/>
                      <w:color w:val="000000" w:themeColor="text1"/>
                      <w:sz w:val="22"/>
                      <w:szCs w:val="22"/>
                    </w:rPr>
                    <w:t>4</w:t>
                  </w:r>
                  <w:r w:rsidRPr="004D3969">
                    <w:rPr>
                      <w:rFonts w:asciiTheme="minorHAnsi" w:hAnsiTheme="minorHAnsi" w:cstheme="minorHAnsi"/>
                      <w:iCs/>
                      <w:color w:val="000000" w:themeColor="text1"/>
                      <w:sz w:val="22"/>
                      <w:szCs w:val="22"/>
                    </w:rPr>
                    <w:t>%</w:t>
                  </w:r>
                </w:p>
              </w:tc>
              <w:tc>
                <w:tcPr>
                  <w:tcW w:w="1801" w:type="dxa"/>
                </w:tcPr>
                <w:p w14:paraId="3D82FCE9" w14:textId="4DC4DDC0" w:rsidR="006D3275" w:rsidRPr="004D3969" w:rsidRDefault="00105B07">
                  <w:pPr>
                    <w:pStyle w:val="ListParagraph"/>
                    <w:numPr>
                      <w:ilvl w:val="0"/>
                      <w:numId w:val="0"/>
                    </w:numPr>
                    <w:rPr>
                      <w:rFonts w:asciiTheme="minorHAnsi" w:hAnsiTheme="minorHAnsi" w:cstheme="minorHAnsi"/>
                      <w:iCs/>
                      <w:color w:val="000000" w:themeColor="text1"/>
                      <w:sz w:val="22"/>
                      <w:szCs w:val="22"/>
                    </w:rPr>
                  </w:pPr>
                  <w:r w:rsidRPr="004D3969">
                    <w:rPr>
                      <w:rFonts w:asciiTheme="minorHAnsi" w:hAnsiTheme="minorHAnsi" w:cstheme="minorHAnsi"/>
                      <w:iCs/>
                      <w:color w:val="000000" w:themeColor="text1"/>
                      <w:sz w:val="22"/>
                      <w:szCs w:val="22"/>
                    </w:rPr>
                    <w:t>7</w:t>
                  </w:r>
                  <w:r w:rsidR="004D3969">
                    <w:rPr>
                      <w:rFonts w:asciiTheme="minorHAnsi" w:hAnsiTheme="minorHAnsi" w:cstheme="minorHAnsi"/>
                      <w:iCs/>
                      <w:color w:val="000000" w:themeColor="text1"/>
                      <w:sz w:val="22"/>
                      <w:szCs w:val="22"/>
                    </w:rPr>
                    <w:t>9</w:t>
                  </w:r>
                  <w:r w:rsidRPr="004D3969">
                    <w:rPr>
                      <w:rFonts w:asciiTheme="minorHAnsi" w:hAnsiTheme="minorHAnsi" w:cstheme="minorHAnsi"/>
                      <w:iCs/>
                      <w:color w:val="000000" w:themeColor="text1"/>
                      <w:sz w:val="22"/>
                      <w:szCs w:val="22"/>
                    </w:rPr>
                    <w:t>%</w:t>
                  </w:r>
                </w:p>
                <w:p w14:paraId="652D57D3" w14:textId="6F072C80" w:rsidR="006D3275" w:rsidRPr="004D3969" w:rsidRDefault="00105B07">
                  <w:pPr>
                    <w:pStyle w:val="ListParagraph"/>
                    <w:numPr>
                      <w:ilvl w:val="0"/>
                      <w:numId w:val="0"/>
                    </w:numPr>
                    <w:rPr>
                      <w:rFonts w:asciiTheme="minorHAnsi" w:hAnsiTheme="minorHAnsi" w:cstheme="minorHAnsi"/>
                      <w:iCs/>
                      <w:color w:val="000000" w:themeColor="text1"/>
                      <w:sz w:val="22"/>
                      <w:szCs w:val="22"/>
                    </w:rPr>
                  </w:pPr>
                  <w:r w:rsidRPr="004D3969">
                    <w:rPr>
                      <w:rFonts w:asciiTheme="minorHAnsi" w:hAnsiTheme="minorHAnsi" w:cstheme="minorHAnsi"/>
                      <w:iCs/>
                      <w:color w:val="000000" w:themeColor="text1"/>
                      <w:sz w:val="22"/>
                      <w:szCs w:val="22"/>
                    </w:rPr>
                    <w:t>4</w:t>
                  </w:r>
                  <w:r w:rsidR="004D3969">
                    <w:rPr>
                      <w:rFonts w:asciiTheme="minorHAnsi" w:hAnsiTheme="minorHAnsi" w:cstheme="minorHAnsi"/>
                      <w:iCs/>
                      <w:color w:val="000000" w:themeColor="text1"/>
                      <w:sz w:val="22"/>
                      <w:szCs w:val="22"/>
                    </w:rPr>
                    <w:t>6</w:t>
                  </w:r>
                  <w:r w:rsidRPr="004D3969">
                    <w:rPr>
                      <w:rFonts w:asciiTheme="minorHAnsi" w:hAnsiTheme="minorHAnsi" w:cstheme="minorHAnsi"/>
                      <w:iCs/>
                      <w:color w:val="000000" w:themeColor="text1"/>
                      <w:sz w:val="22"/>
                      <w:szCs w:val="22"/>
                    </w:rPr>
                    <w:t>%</w:t>
                  </w:r>
                </w:p>
              </w:tc>
            </w:tr>
          </w:tbl>
          <w:p w14:paraId="6A4CD384" w14:textId="77777777" w:rsidR="006D3275" w:rsidRDefault="006D3275">
            <w:pPr>
              <w:pStyle w:val="ListParagraph"/>
              <w:numPr>
                <w:ilvl w:val="0"/>
                <w:numId w:val="0"/>
              </w:numPr>
              <w:ind w:left="720"/>
              <w:rPr>
                <w:rFonts w:asciiTheme="minorHAnsi" w:hAnsiTheme="minorHAnsi" w:cstheme="minorHAnsi"/>
                <w:iCs/>
                <w:color w:val="auto"/>
                <w:sz w:val="22"/>
                <w:szCs w:val="22"/>
              </w:rPr>
            </w:pPr>
          </w:p>
          <w:p w14:paraId="205B61E5" w14:textId="77777777" w:rsidR="006D3275" w:rsidRDefault="00105B07">
            <w:pPr>
              <w:pStyle w:val="ListParagraph"/>
              <w:numPr>
                <w:ilvl w:val="0"/>
                <w:numId w:val="15"/>
              </w:numPr>
              <w:rPr>
                <w:rFonts w:asciiTheme="minorHAnsi" w:hAnsiTheme="minorHAnsi" w:cstheme="minorHAnsi"/>
                <w:iCs/>
                <w:color w:val="auto"/>
                <w:sz w:val="22"/>
                <w:szCs w:val="22"/>
              </w:rPr>
            </w:pPr>
            <w:r>
              <w:rPr>
                <w:rFonts w:asciiTheme="minorHAnsi" w:hAnsiTheme="minorHAnsi" w:cstheme="minorHAnsi"/>
                <w:iCs/>
                <w:color w:val="auto"/>
                <w:sz w:val="22"/>
                <w:szCs w:val="22"/>
              </w:rPr>
              <w:t>All PP students will transfer successfully to Post 16 programmes of study or employment and represent 0% of the school’s % NEET figure.</w:t>
            </w:r>
          </w:p>
          <w:p w14:paraId="6CC75A17" w14:textId="77777777" w:rsidR="006D3275" w:rsidRDefault="00105B07">
            <w:pPr>
              <w:pStyle w:val="ListParagraph"/>
              <w:numPr>
                <w:ilvl w:val="0"/>
                <w:numId w:val="15"/>
              </w:numPr>
              <w:rPr>
                <w:rFonts w:asciiTheme="minorHAnsi" w:hAnsiTheme="minorHAnsi" w:cstheme="minorHAnsi"/>
                <w:iCs/>
                <w:color w:val="auto"/>
                <w:sz w:val="22"/>
                <w:szCs w:val="22"/>
              </w:rPr>
            </w:pPr>
            <w:r>
              <w:rPr>
                <w:rFonts w:asciiTheme="minorHAnsi" w:hAnsiTheme="minorHAnsi" w:cstheme="minorHAnsi"/>
                <w:iCs/>
                <w:color w:val="auto"/>
                <w:sz w:val="22"/>
                <w:szCs w:val="22"/>
              </w:rPr>
              <w:t>Our PP students will achieve attendance in line with our school’s average attendance figures for all students.</w:t>
            </w:r>
          </w:p>
          <w:p w14:paraId="36D824A2" w14:textId="77777777" w:rsidR="006D3275" w:rsidRDefault="00105B07">
            <w:pPr>
              <w:pStyle w:val="ListParagraph"/>
              <w:numPr>
                <w:ilvl w:val="0"/>
                <w:numId w:val="15"/>
              </w:numPr>
              <w:rPr>
                <w:rFonts w:asciiTheme="minorHAnsi" w:hAnsiTheme="minorHAnsi" w:cstheme="minorHAnsi"/>
                <w:iCs/>
                <w:color w:val="auto"/>
                <w:sz w:val="22"/>
                <w:szCs w:val="22"/>
              </w:rPr>
            </w:pPr>
            <w:r>
              <w:rPr>
                <w:rFonts w:asciiTheme="minorHAnsi" w:hAnsiTheme="minorHAnsi" w:cstheme="minorHAnsi"/>
                <w:iCs/>
                <w:color w:val="auto"/>
                <w:sz w:val="22"/>
                <w:szCs w:val="22"/>
              </w:rPr>
              <w:t>Our PP students will achieve levels of persistent absence in line with our school levels of persistent absence, which will ensure attendance is significantly better than national levels for both PP and non PP students.</w:t>
            </w:r>
          </w:p>
          <w:p w14:paraId="1D02337F" w14:textId="77777777" w:rsidR="006D3275" w:rsidRDefault="00105B07">
            <w:pPr>
              <w:rPr>
                <w:rFonts w:asciiTheme="minorHAnsi" w:hAnsiTheme="minorHAnsi" w:cstheme="minorHAnsi"/>
                <w:b/>
                <w:iCs/>
                <w:color w:val="auto"/>
                <w:sz w:val="22"/>
                <w:szCs w:val="22"/>
              </w:rPr>
            </w:pPr>
            <w:r>
              <w:rPr>
                <w:rFonts w:asciiTheme="minorHAnsi" w:hAnsiTheme="minorHAnsi" w:cstheme="minorHAnsi"/>
                <w:b/>
                <w:iCs/>
                <w:color w:val="auto"/>
                <w:sz w:val="22"/>
                <w:szCs w:val="22"/>
              </w:rPr>
              <w:t>Key Principles:</w:t>
            </w:r>
          </w:p>
          <w:p w14:paraId="787E3E0A" w14:textId="77777777" w:rsidR="006D3275" w:rsidRDefault="00105B07">
            <w:pPr>
              <w:pStyle w:val="ListParagraph"/>
              <w:numPr>
                <w:ilvl w:val="0"/>
                <w:numId w:val="23"/>
              </w:numPr>
              <w:rPr>
                <w:rFonts w:asciiTheme="minorHAnsi" w:hAnsiTheme="minorHAnsi" w:cstheme="minorHAnsi"/>
                <w:iCs/>
                <w:color w:val="auto"/>
                <w:sz w:val="22"/>
                <w:szCs w:val="22"/>
              </w:rPr>
            </w:pPr>
            <w:r>
              <w:rPr>
                <w:rFonts w:asciiTheme="minorHAnsi" w:hAnsiTheme="minorHAnsi" w:cstheme="minorHAnsi"/>
                <w:iCs/>
                <w:color w:val="auto"/>
                <w:sz w:val="22"/>
                <w:szCs w:val="22"/>
              </w:rPr>
              <w:t>The Head teacher, staff and governors accept their responsibility for pupils eligible for the pupil premium.</w:t>
            </w:r>
          </w:p>
          <w:p w14:paraId="1E1EFA99" w14:textId="77777777" w:rsidR="006D3275" w:rsidRDefault="00105B07">
            <w:pPr>
              <w:pStyle w:val="ListParagraph"/>
              <w:numPr>
                <w:ilvl w:val="0"/>
                <w:numId w:val="23"/>
              </w:numPr>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All staff are committed to ensuring the gap in attainment and progress closes between those pupils eligible for pupil premium funding and all other pupils. </w:t>
            </w:r>
          </w:p>
          <w:p w14:paraId="258087E4" w14:textId="77777777" w:rsidR="006D3275" w:rsidRDefault="00105B07">
            <w:pPr>
              <w:pStyle w:val="ListParagraph"/>
              <w:numPr>
                <w:ilvl w:val="0"/>
                <w:numId w:val="23"/>
              </w:numPr>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All staff recognise the important of high expectations for all students and the need for quality first teaching to develop knowledge and skills. </w:t>
            </w:r>
          </w:p>
          <w:p w14:paraId="4EE9F42B" w14:textId="77777777" w:rsidR="006D3275" w:rsidRDefault="00105B07">
            <w:pPr>
              <w:pStyle w:val="ListParagraph"/>
              <w:numPr>
                <w:ilvl w:val="0"/>
                <w:numId w:val="23"/>
              </w:numPr>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The pupil premium funding is used to address the main barriers to learning, supporting a range of strategies to promote accelerated academic progress, social inclusion and opportunities for all.  </w:t>
            </w:r>
          </w:p>
          <w:p w14:paraId="0048F442" w14:textId="77777777" w:rsidR="006D3275" w:rsidRDefault="00105B07">
            <w:pPr>
              <w:rPr>
                <w:rFonts w:asciiTheme="minorHAnsi" w:hAnsiTheme="minorHAnsi" w:cstheme="minorHAnsi"/>
                <w:iCs/>
                <w:color w:val="auto"/>
                <w:sz w:val="22"/>
                <w:szCs w:val="22"/>
              </w:rPr>
            </w:pPr>
            <w:r>
              <w:rPr>
                <w:rFonts w:asciiTheme="minorHAnsi" w:hAnsiTheme="minorHAnsi" w:cstheme="minorHAnsi"/>
                <w:b/>
                <w:iCs/>
                <w:color w:val="auto"/>
                <w:sz w:val="22"/>
                <w:szCs w:val="22"/>
              </w:rPr>
              <w:t>Expectations to ensure that learners eligible for pupil premium support benefit fully from the funding</w:t>
            </w:r>
            <w:r>
              <w:rPr>
                <w:rFonts w:asciiTheme="minorHAnsi" w:hAnsiTheme="minorHAnsi" w:cstheme="minorHAnsi"/>
                <w:iCs/>
                <w:color w:val="auto"/>
                <w:sz w:val="22"/>
                <w:szCs w:val="22"/>
              </w:rPr>
              <w:t>:</w:t>
            </w:r>
          </w:p>
          <w:p w14:paraId="09CF4B44" w14:textId="77777777" w:rsidR="006D3275" w:rsidRDefault="00105B07">
            <w:pPr>
              <w:pStyle w:val="ListParagraph"/>
              <w:numPr>
                <w:ilvl w:val="0"/>
                <w:numId w:val="25"/>
              </w:numPr>
              <w:spacing w:after="0"/>
              <w:rPr>
                <w:rFonts w:asciiTheme="minorHAnsi" w:eastAsiaTheme="minorEastAsia" w:hAnsiTheme="minorHAnsi" w:cstheme="minorHAnsi"/>
                <w:color w:val="auto"/>
                <w:sz w:val="22"/>
                <w:szCs w:val="22"/>
                <w:lang w:eastAsia="en-US"/>
              </w:rPr>
            </w:pPr>
            <w:r>
              <w:rPr>
                <w:rFonts w:asciiTheme="minorHAnsi" w:eastAsiaTheme="minorEastAsia" w:hAnsiTheme="minorHAnsi" w:cstheme="minorHAnsi"/>
                <w:color w:val="auto"/>
                <w:sz w:val="22"/>
                <w:szCs w:val="22"/>
                <w:lang w:eastAsia="en-US"/>
              </w:rPr>
              <w:t>Pupil Premium students have the literacy skills, as part of our whole school literacy, to fully access the whole curriculum.</w:t>
            </w:r>
          </w:p>
          <w:p w14:paraId="70872786" w14:textId="77777777" w:rsidR="006D3275" w:rsidRDefault="00105B07">
            <w:pPr>
              <w:pStyle w:val="ListParagraph"/>
              <w:numPr>
                <w:ilvl w:val="0"/>
                <w:numId w:val="25"/>
              </w:numPr>
              <w:spacing w:after="0"/>
              <w:rPr>
                <w:rFonts w:asciiTheme="minorHAnsi" w:eastAsiaTheme="minorEastAsia" w:hAnsiTheme="minorHAnsi" w:cstheme="minorHAnsi"/>
                <w:color w:val="auto"/>
                <w:sz w:val="22"/>
                <w:szCs w:val="22"/>
                <w:lang w:eastAsia="en-US"/>
              </w:rPr>
            </w:pPr>
            <w:r>
              <w:rPr>
                <w:rFonts w:asciiTheme="minorHAnsi" w:eastAsiaTheme="minorEastAsia" w:hAnsiTheme="minorHAnsi" w:cstheme="minorHAnsi"/>
                <w:color w:val="auto"/>
                <w:sz w:val="22"/>
                <w:szCs w:val="22"/>
                <w:lang w:eastAsia="en-US"/>
              </w:rPr>
              <w:t>Pupil Premium students are well supported in having high aspirations for their next steps and careers.</w:t>
            </w:r>
          </w:p>
          <w:p w14:paraId="0C043443" w14:textId="77777777" w:rsidR="006D3275" w:rsidRDefault="00105B07">
            <w:pPr>
              <w:pStyle w:val="ListParagraph"/>
              <w:numPr>
                <w:ilvl w:val="0"/>
                <w:numId w:val="25"/>
              </w:numPr>
              <w:spacing w:after="0"/>
              <w:rPr>
                <w:rFonts w:asciiTheme="minorHAnsi" w:eastAsiaTheme="minorEastAsia" w:hAnsiTheme="minorHAnsi" w:cstheme="minorHAnsi"/>
                <w:color w:val="auto"/>
                <w:sz w:val="22"/>
                <w:szCs w:val="22"/>
                <w:lang w:eastAsia="en-US"/>
              </w:rPr>
            </w:pPr>
            <w:r>
              <w:rPr>
                <w:rFonts w:asciiTheme="minorHAnsi" w:eastAsiaTheme="minorEastAsia" w:hAnsiTheme="minorHAnsi" w:cstheme="minorHAnsi"/>
                <w:color w:val="auto"/>
                <w:sz w:val="22"/>
                <w:szCs w:val="22"/>
                <w:lang w:eastAsia="en-US"/>
              </w:rPr>
              <w:lastRenderedPageBreak/>
              <w:t>Pupil Premium students’ outcomes enable them to pursue their chosen pathway.</w:t>
            </w:r>
          </w:p>
          <w:p w14:paraId="1855AAF6" w14:textId="77777777" w:rsidR="006D3275" w:rsidRDefault="00105B07">
            <w:pPr>
              <w:pStyle w:val="ListParagraph"/>
              <w:numPr>
                <w:ilvl w:val="0"/>
                <w:numId w:val="25"/>
              </w:numPr>
              <w:spacing w:after="0"/>
              <w:rPr>
                <w:rFonts w:asciiTheme="minorHAnsi" w:eastAsiaTheme="minorEastAsia" w:hAnsiTheme="minorHAnsi" w:cstheme="minorHAnsi"/>
                <w:color w:val="auto"/>
                <w:sz w:val="22"/>
                <w:szCs w:val="22"/>
                <w:lang w:eastAsia="en-US"/>
              </w:rPr>
            </w:pPr>
            <w:r>
              <w:rPr>
                <w:rFonts w:asciiTheme="minorHAnsi" w:eastAsiaTheme="minorEastAsia" w:hAnsiTheme="minorHAnsi" w:cstheme="minorHAnsi"/>
                <w:color w:val="auto"/>
                <w:sz w:val="22"/>
                <w:szCs w:val="22"/>
                <w:lang w:eastAsia="en-US"/>
              </w:rPr>
              <w:t>Pupil Premium students remain in education or training post 16, and are able to access level 3 courses, where appropriate.</w:t>
            </w:r>
          </w:p>
          <w:p w14:paraId="298C50D2" w14:textId="77777777" w:rsidR="006D3275" w:rsidRDefault="00105B07">
            <w:pPr>
              <w:pStyle w:val="ListParagraph"/>
              <w:numPr>
                <w:ilvl w:val="0"/>
                <w:numId w:val="25"/>
              </w:numPr>
              <w:spacing w:after="0"/>
              <w:rPr>
                <w:rFonts w:asciiTheme="minorHAnsi" w:eastAsiaTheme="minorEastAsia" w:hAnsiTheme="minorHAnsi" w:cstheme="minorHAnsi"/>
                <w:color w:val="auto"/>
                <w:sz w:val="22"/>
                <w:szCs w:val="22"/>
                <w:lang w:eastAsia="en-US"/>
              </w:rPr>
            </w:pPr>
            <w:r>
              <w:rPr>
                <w:rFonts w:asciiTheme="minorHAnsi" w:eastAsiaTheme="minorEastAsia" w:hAnsiTheme="minorHAnsi" w:cstheme="minorHAnsi"/>
                <w:color w:val="auto"/>
                <w:sz w:val="22"/>
                <w:szCs w:val="22"/>
                <w:lang w:eastAsia="en-US"/>
              </w:rPr>
              <w:t xml:space="preserve">Pupil Premium students engage in the full range of opportunities available to them across their school life. </w:t>
            </w:r>
          </w:p>
          <w:p w14:paraId="07055DA3" w14:textId="77777777" w:rsidR="006D3275" w:rsidRDefault="006D3275">
            <w:pPr>
              <w:spacing w:after="0" w:line="250" w:lineRule="auto"/>
              <w:ind w:left="2892" w:right="2" w:firstLine="708"/>
              <w:rPr>
                <w:rFonts w:eastAsiaTheme="minorEastAsia" w:cs="Arial"/>
                <w:b/>
                <w:color w:val="auto"/>
                <w:sz w:val="20"/>
                <w:szCs w:val="20"/>
                <w:lang w:eastAsia="en-US"/>
              </w:rPr>
            </w:pPr>
          </w:p>
          <w:p w14:paraId="73E5E56B" w14:textId="2A582366" w:rsidR="006D3275" w:rsidRDefault="00105B07">
            <w:pPr>
              <w:rPr>
                <w:rFonts w:asciiTheme="minorHAnsi" w:hAnsiTheme="minorHAnsi" w:cstheme="minorHAnsi"/>
                <w:b/>
                <w:iCs/>
                <w:color w:val="auto"/>
                <w:sz w:val="22"/>
                <w:szCs w:val="22"/>
              </w:rPr>
            </w:pPr>
            <w:r>
              <w:rPr>
                <w:rFonts w:asciiTheme="minorHAnsi" w:hAnsiTheme="minorHAnsi" w:cstheme="minorHAnsi"/>
                <w:b/>
                <w:iCs/>
                <w:color w:val="auto"/>
                <w:sz w:val="22"/>
                <w:szCs w:val="22"/>
              </w:rPr>
              <w:t>Identified objectives planned towards achieving those objectives: 202</w:t>
            </w:r>
            <w:r w:rsidR="004D3969">
              <w:rPr>
                <w:rFonts w:asciiTheme="minorHAnsi" w:hAnsiTheme="minorHAnsi" w:cstheme="minorHAnsi"/>
                <w:b/>
                <w:iCs/>
                <w:color w:val="auto"/>
                <w:sz w:val="22"/>
                <w:szCs w:val="22"/>
              </w:rPr>
              <w:t>3</w:t>
            </w:r>
            <w:r>
              <w:rPr>
                <w:rFonts w:asciiTheme="minorHAnsi" w:hAnsiTheme="minorHAnsi" w:cstheme="minorHAnsi"/>
                <w:b/>
                <w:iCs/>
                <w:color w:val="auto"/>
                <w:sz w:val="22"/>
                <w:szCs w:val="22"/>
              </w:rPr>
              <w:t>-2</w:t>
            </w:r>
            <w:r w:rsidR="004D3969">
              <w:rPr>
                <w:rFonts w:asciiTheme="minorHAnsi" w:hAnsiTheme="minorHAnsi" w:cstheme="minorHAnsi"/>
                <w:b/>
                <w:iCs/>
                <w:color w:val="auto"/>
                <w:sz w:val="22"/>
                <w:szCs w:val="22"/>
              </w:rPr>
              <w:t>4</w:t>
            </w:r>
            <w:r>
              <w:rPr>
                <w:rFonts w:asciiTheme="minorHAnsi" w:hAnsiTheme="minorHAnsi" w:cstheme="minorHAnsi"/>
                <w:b/>
                <w:iCs/>
                <w:color w:val="auto"/>
                <w:sz w:val="22"/>
                <w:szCs w:val="22"/>
              </w:rPr>
              <w:t xml:space="preserve"> as phase </w:t>
            </w:r>
            <w:r w:rsidR="004D3969">
              <w:rPr>
                <w:rFonts w:asciiTheme="minorHAnsi" w:hAnsiTheme="minorHAnsi" w:cstheme="minorHAnsi"/>
                <w:b/>
                <w:iCs/>
                <w:color w:val="auto"/>
                <w:sz w:val="22"/>
                <w:szCs w:val="22"/>
              </w:rPr>
              <w:t>3</w:t>
            </w:r>
            <w:r>
              <w:rPr>
                <w:rFonts w:asciiTheme="minorHAnsi" w:hAnsiTheme="minorHAnsi" w:cstheme="minorHAnsi"/>
                <w:b/>
                <w:iCs/>
                <w:color w:val="auto"/>
                <w:sz w:val="22"/>
                <w:szCs w:val="22"/>
              </w:rPr>
              <w:t xml:space="preserve"> of our 3-year strategy.</w:t>
            </w:r>
          </w:p>
          <w:p w14:paraId="559F2458" w14:textId="77777777" w:rsidR="006D3275" w:rsidRDefault="00105B07">
            <w:pPr>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Quality of Education:</w:t>
            </w:r>
          </w:p>
          <w:p w14:paraId="55422227" w14:textId="77777777" w:rsidR="006D3275" w:rsidRDefault="006D3275">
            <w:pPr>
              <w:spacing w:after="0" w:line="240" w:lineRule="auto"/>
              <w:rPr>
                <w:rFonts w:asciiTheme="minorHAnsi" w:hAnsiTheme="minorHAnsi" w:cstheme="minorHAnsi"/>
                <w:iCs/>
                <w:color w:val="auto"/>
                <w:sz w:val="22"/>
                <w:szCs w:val="22"/>
              </w:rPr>
            </w:pPr>
          </w:p>
          <w:p w14:paraId="6525185E" w14:textId="77777777" w:rsidR="006D3275" w:rsidRDefault="00105B07">
            <w:pPr>
              <w:pStyle w:val="ListParagraph"/>
              <w:numPr>
                <w:ilvl w:val="0"/>
                <w:numId w:val="30"/>
              </w:numPr>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To develop an ambitious curriculum that is designed, and succeeds, in giving all Pupil Premium learners the skills and detailed knowledge to achieve well.</w:t>
            </w:r>
          </w:p>
          <w:p w14:paraId="5B24C50F" w14:textId="77777777" w:rsidR="006D3275" w:rsidRDefault="00105B07">
            <w:pPr>
              <w:pStyle w:val="NoSpacing"/>
              <w:numPr>
                <w:ilvl w:val="0"/>
                <w:numId w:val="30"/>
              </w:numPr>
              <w:rPr>
                <w:rStyle w:val="normaltextrun"/>
                <w:iCs/>
                <w:color w:val="auto"/>
              </w:rPr>
            </w:pPr>
            <w:r>
              <w:rPr>
                <w:rFonts w:asciiTheme="minorHAnsi" w:hAnsiTheme="minorHAnsi" w:cstheme="minorHAnsi"/>
                <w:iCs/>
                <w:color w:val="auto"/>
                <w:sz w:val="22"/>
                <w:szCs w:val="22"/>
              </w:rPr>
              <w:t>To plan an ambitious approach to the teaching of reading that develops Pupil Premium learners’ confidence and enjoyment in reading resulting in learners reading often, widely and with fluency and comprehension.</w:t>
            </w:r>
            <w:r>
              <w:rPr>
                <w:rStyle w:val="normaltextrun"/>
                <w:rFonts w:asciiTheme="minorHAnsi" w:hAnsiTheme="minorHAnsi" w:cstheme="minorHAnsi"/>
                <w:sz w:val="22"/>
                <w:szCs w:val="22"/>
                <w:lang w:eastAsia="en-US"/>
              </w:rPr>
              <w:t xml:space="preserve"> </w:t>
            </w:r>
          </w:p>
          <w:p w14:paraId="2CA8B468" w14:textId="77777777" w:rsidR="006D3275" w:rsidRDefault="00105B07">
            <w:pPr>
              <w:pStyle w:val="NoSpacing"/>
              <w:numPr>
                <w:ilvl w:val="0"/>
                <w:numId w:val="30"/>
              </w:numPr>
              <w:rPr>
                <w:rStyle w:val="normaltextrun"/>
                <w:iCs/>
                <w:color w:val="auto"/>
              </w:rPr>
            </w:pPr>
            <w:r>
              <w:rPr>
                <w:rStyle w:val="normaltextrun"/>
                <w:rFonts w:asciiTheme="minorHAnsi" w:hAnsiTheme="minorHAnsi" w:cstheme="minorHAnsi"/>
                <w:sz w:val="22"/>
                <w:szCs w:val="22"/>
                <w:lang w:eastAsia="en-US"/>
              </w:rPr>
              <w:t>To develop the literacy expertise of teachers which results in Pupil Premium learners becoming more confident in their reading, oracy and writing in subject-specific domains.</w:t>
            </w:r>
          </w:p>
          <w:p w14:paraId="5F1DB918" w14:textId="77777777" w:rsidR="006D3275" w:rsidRDefault="00105B07">
            <w:pPr>
              <w:pStyle w:val="NoSpacing"/>
              <w:numPr>
                <w:ilvl w:val="0"/>
                <w:numId w:val="30"/>
              </w:numPr>
              <w:rPr>
                <w:iCs/>
                <w:color w:val="auto"/>
              </w:rPr>
            </w:pPr>
            <w:r>
              <w:rPr>
                <w:rFonts w:asciiTheme="minorHAnsi" w:hAnsiTheme="minorHAnsi" w:cstheme="minorHAnsi"/>
                <w:iCs/>
                <w:color w:val="auto"/>
                <w:sz w:val="22"/>
                <w:szCs w:val="22"/>
              </w:rPr>
              <w:t xml:space="preserve">To plan and deliver a Mastery curriculum in English and Maths in Years 7-11 which leads to Pupil Premium learners achieving in line with non-Pupil Premium learners.  </w:t>
            </w:r>
          </w:p>
          <w:p w14:paraId="1252BA38" w14:textId="77777777" w:rsidR="006D3275" w:rsidRDefault="00105B07">
            <w:pPr>
              <w:pStyle w:val="NoSpacing"/>
              <w:numPr>
                <w:ilvl w:val="0"/>
                <w:numId w:val="30"/>
              </w:numPr>
              <w:rPr>
                <w:iCs/>
                <w:color w:val="auto"/>
              </w:rPr>
            </w:pPr>
            <w:r>
              <w:rPr>
                <w:rFonts w:asciiTheme="minorHAnsi" w:hAnsiTheme="minorHAnsi" w:cstheme="minorHAnsi"/>
                <w:iCs/>
                <w:color w:val="auto"/>
                <w:sz w:val="22"/>
                <w:szCs w:val="22"/>
              </w:rPr>
              <w:t xml:space="preserve">To plan and deliver an ambitious curriculum that gives all Pupil Premium learners opportunities to be physically active and supports them in their understanding of healthy relationships and sex education. </w:t>
            </w:r>
          </w:p>
          <w:p w14:paraId="0ABEAA6C" w14:textId="77777777" w:rsidR="006D3275" w:rsidRDefault="00105B07">
            <w:pPr>
              <w:pStyle w:val="NoSpacing"/>
              <w:numPr>
                <w:ilvl w:val="0"/>
                <w:numId w:val="30"/>
              </w:numPr>
              <w:rPr>
                <w:rFonts w:asciiTheme="minorHAnsi" w:hAnsiTheme="minorHAnsi" w:cstheme="minorHAnsi"/>
                <w:iCs/>
                <w:color w:val="auto"/>
                <w:sz w:val="22"/>
                <w:szCs w:val="22"/>
              </w:rPr>
            </w:pPr>
            <w:r>
              <w:rPr>
                <w:rFonts w:asciiTheme="minorHAnsi" w:hAnsiTheme="minorHAnsi" w:cstheme="minorHAnsi"/>
                <w:iCs/>
                <w:color w:val="auto"/>
                <w:sz w:val="22"/>
                <w:szCs w:val="22"/>
              </w:rPr>
              <w:t>To ensure Pupil Premium learners &amp; parents/carers receive diagnostic feedback, through the reporting system, on how they can improve, which results in all learners and parents having clear actionable targets.</w:t>
            </w:r>
          </w:p>
          <w:p w14:paraId="4F9CADED" w14:textId="77777777" w:rsidR="006D3275" w:rsidRDefault="00105B07">
            <w:pPr>
              <w:pStyle w:val="NoSpacing"/>
              <w:numPr>
                <w:ilvl w:val="0"/>
                <w:numId w:val="30"/>
              </w:numPr>
              <w:rPr>
                <w:rFonts w:asciiTheme="minorHAnsi" w:hAnsiTheme="minorHAnsi" w:cstheme="minorHAnsi"/>
                <w:iCs/>
                <w:color w:val="auto"/>
                <w:sz w:val="22"/>
                <w:szCs w:val="22"/>
              </w:rPr>
            </w:pPr>
            <w:r>
              <w:rPr>
                <w:rFonts w:asciiTheme="minorHAnsi" w:hAnsiTheme="minorHAnsi" w:cstheme="minorHAnsi"/>
                <w:iCs/>
                <w:color w:val="auto"/>
                <w:sz w:val="22"/>
                <w:szCs w:val="22"/>
              </w:rPr>
              <w:t xml:space="preserve"> To ensure that teachers check Pupil Premium learners’ understanding systematically &amp; identify misconceptions which leads to accurate and clear, direct and actionable feedback.</w:t>
            </w:r>
          </w:p>
          <w:p w14:paraId="48C93BE2" w14:textId="77777777" w:rsidR="006D3275" w:rsidRDefault="006D3275">
            <w:pPr>
              <w:spacing w:after="0" w:line="240" w:lineRule="auto"/>
              <w:rPr>
                <w:rFonts w:asciiTheme="minorHAnsi" w:hAnsiTheme="minorHAnsi" w:cstheme="minorHAnsi"/>
                <w:iCs/>
                <w:color w:val="auto"/>
                <w:sz w:val="22"/>
                <w:szCs w:val="22"/>
              </w:rPr>
            </w:pPr>
          </w:p>
          <w:p w14:paraId="6B0B1E52" w14:textId="77777777" w:rsidR="006D3275" w:rsidRDefault="00105B07">
            <w:pPr>
              <w:spacing w:after="0" w:line="240" w:lineRule="auto"/>
              <w:rPr>
                <w:rFonts w:asciiTheme="minorHAnsi" w:hAnsiTheme="minorHAnsi" w:cstheme="minorHAnsi"/>
                <w:iCs/>
                <w:color w:val="auto"/>
                <w:sz w:val="22"/>
                <w:szCs w:val="22"/>
              </w:rPr>
            </w:pPr>
            <w:r>
              <w:rPr>
                <w:rFonts w:asciiTheme="minorHAnsi" w:hAnsiTheme="minorHAnsi" w:cstheme="minorHAnsi"/>
                <w:iCs/>
                <w:color w:val="auto"/>
                <w:sz w:val="22"/>
                <w:szCs w:val="22"/>
              </w:rPr>
              <w:t>Personal Development:</w:t>
            </w:r>
          </w:p>
          <w:p w14:paraId="24972C19" w14:textId="77777777" w:rsidR="006D3275" w:rsidRDefault="006D3275">
            <w:pPr>
              <w:spacing w:after="0" w:line="240" w:lineRule="auto"/>
              <w:rPr>
                <w:rFonts w:asciiTheme="minorHAnsi" w:hAnsiTheme="minorHAnsi" w:cstheme="minorHAnsi"/>
                <w:iCs/>
                <w:color w:val="auto"/>
                <w:sz w:val="22"/>
                <w:szCs w:val="22"/>
              </w:rPr>
            </w:pPr>
          </w:p>
          <w:p w14:paraId="56837BBE" w14:textId="77777777" w:rsidR="006D3275" w:rsidRDefault="00105B07">
            <w:pPr>
              <w:pStyle w:val="ListParagraph"/>
              <w:numPr>
                <w:ilvl w:val="0"/>
                <w:numId w:val="31"/>
              </w:numPr>
              <w:spacing w:after="0" w:line="240" w:lineRule="auto"/>
              <w:rPr>
                <w:rFonts w:asciiTheme="minorHAnsi" w:hAnsiTheme="minorHAnsi" w:cstheme="minorHAnsi"/>
                <w:color w:val="0B0C0C"/>
                <w:sz w:val="22"/>
                <w:szCs w:val="22"/>
              </w:rPr>
            </w:pPr>
            <w:r>
              <w:rPr>
                <w:rFonts w:asciiTheme="minorHAnsi" w:hAnsiTheme="minorHAnsi" w:cstheme="minorHAnsi"/>
                <w:color w:val="0B0C0C"/>
                <w:sz w:val="22"/>
                <w:szCs w:val="22"/>
              </w:rPr>
              <w:t>To provide pupil premium learners’ with a broad development, which extends beyond their academic studies, enabling them to develop and discover their interests and talents</w:t>
            </w:r>
          </w:p>
          <w:p w14:paraId="0D2F1EDD" w14:textId="77777777" w:rsidR="006D3275" w:rsidRDefault="00105B07">
            <w:pPr>
              <w:pStyle w:val="ListParagraph"/>
              <w:numPr>
                <w:ilvl w:val="0"/>
                <w:numId w:val="31"/>
              </w:numPr>
              <w:shd w:val="clear" w:color="auto" w:fill="FFFFFF"/>
              <w:spacing w:after="75"/>
              <w:rPr>
                <w:rFonts w:asciiTheme="minorHAnsi" w:hAnsiTheme="minorHAnsi" w:cstheme="minorHAnsi"/>
                <w:color w:val="0B0C0C"/>
                <w:sz w:val="22"/>
                <w:szCs w:val="22"/>
              </w:rPr>
            </w:pPr>
            <w:r>
              <w:rPr>
                <w:rFonts w:asciiTheme="minorHAnsi" w:hAnsiTheme="minorHAnsi" w:cstheme="minorHAnsi"/>
                <w:color w:val="0B0C0C"/>
                <w:sz w:val="22"/>
                <w:szCs w:val="22"/>
              </w:rPr>
              <w:t xml:space="preserve">To develop their pupil premium learners’ character enabling them to improve their resilience, confidence and independence </w:t>
            </w:r>
          </w:p>
          <w:p w14:paraId="63BFBAE8" w14:textId="77777777" w:rsidR="006D3275" w:rsidRDefault="00105B07">
            <w:pPr>
              <w:pStyle w:val="ListParagraph"/>
              <w:numPr>
                <w:ilvl w:val="0"/>
                <w:numId w:val="31"/>
              </w:numPr>
              <w:shd w:val="clear" w:color="auto" w:fill="FFFFFF"/>
              <w:spacing w:after="75"/>
              <w:rPr>
                <w:rFonts w:asciiTheme="minorHAnsi" w:hAnsiTheme="minorHAnsi" w:cstheme="minorHAnsi"/>
                <w:color w:val="0B0C0C"/>
                <w:sz w:val="22"/>
                <w:szCs w:val="22"/>
              </w:rPr>
            </w:pPr>
            <w:r>
              <w:rPr>
                <w:rFonts w:asciiTheme="minorHAnsi" w:hAnsiTheme="minorHAnsi" w:cstheme="minorHAnsi"/>
                <w:color w:val="0B0C0C"/>
                <w:sz w:val="22"/>
                <w:szCs w:val="22"/>
              </w:rPr>
              <w:t>To effectively prepare pupil premium learners for key transitions at Chosen Hill at Year 7, 10 and 12 so that they are academically and socially upskilled for each key stage.</w:t>
            </w:r>
          </w:p>
        </w:tc>
      </w:tr>
    </w:tbl>
    <w:p w14:paraId="33112B63" w14:textId="77777777" w:rsidR="006D3275" w:rsidRDefault="00105B07">
      <w:pPr>
        <w:pStyle w:val="Heading2"/>
        <w:spacing w:before="600"/>
        <w:rPr>
          <w:sz w:val="20"/>
          <w:szCs w:val="20"/>
        </w:rPr>
      </w:pPr>
      <w:r>
        <w:rPr>
          <w:sz w:val="20"/>
          <w:szCs w:val="20"/>
        </w:rPr>
        <w:lastRenderedPageBreak/>
        <w:t>Challenges</w:t>
      </w:r>
    </w:p>
    <w:tbl>
      <w:tblPr>
        <w:tblW w:w="5000" w:type="pct"/>
        <w:tblCellMar>
          <w:left w:w="10" w:type="dxa"/>
          <w:right w:w="10" w:type="dxa"/>
        </w:tblCellMar>
        <w:tblLook w:val="04A0" w:firstRow="1" w:lastRow="0" w:firstColumn="1" w:lastColumn="0" w:noHBand="0" w:noVBand="1"/>
      </w:tblPr>
      <w:tblGrid>
        <w:gridCol w:w="1477"/>
        <w:gridCol w:w="8009"/>
      </w:tblGrid>
      <w:tr w:rsidR="006D3275" w14:paraId="4B1D429A"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4BA52ED" w14:textId="77777777" w:rsidR="006D3275" w:rsidRDefault="00105B07">
            <w:pPr>
              <w:pStyle w:val="TableHeader"/>
              <w:jc w:val="left"/>
              <w:rPr>
                <w:sz w:val="20"/>
                <w:szCs w:val="20"/>
              </w:rPr>
            </w:pPr>
            <w:r>
              <w:rPr>
                <w:sz w:val="20"/>
                <w:szCs w:val="20"/>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B0C1F64" w14:textId="77777777" w:rsidR="006D3275" w:rsidRDefault="00105B07">
            <w:pPr>
              <w:pStyle w:val="TableHeader"/>
              <w:jc w:val="left"/>
              <w:rPr>
                <w:sz w:val="20"/>
                <w:szCs w:val="20"/>
              </w:rPr>
            </w:pPr>
            <w:r>
              <w:rPr>
                <w:sz w:val="20"/>
                <w:szCs w:val="20"/>
              </w:rPr>
              <w:t xml:space="preserve">Detail of challenge </w:t>
            </w:r>
          </w:p>
        </w:tc>
      </w:tr>
      <w:tr w:rsidR="006D3275" w14:paraId="6BB29191" w14:textId="77777777">
        <w:trPr>
          <w:trHeight w:val="849"/>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0F0C7" w14:textId="77777777" w:rsidR="006D3275" w:rsidRDefault="00105B07">
            <w:pPr>
              <w:pStyle w:val="TableRow"/>
              <w:rPr>
                <w:sz w:val="20"/>
                <w:szCs w:val="20"/>
              </w:rPr>
            </w:pPr>
            <w:r>
              <w:rPr>
                <w:sz w:val="20"/>
                <w:szCs w:val="20"/>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1CC2D" w14:textId="77777777" w:rsidR="006D3275" w:rsidRDefault="00105B07">
            <w:pPr>
              <w:rPr>
                <w:rFonts w:asciiTheme="minorHAnsi" w:hAnsiTheme="minorHAnsi" w:cstheme="minorHAnsi"/>
                <w:sz w:val="22"/>
                <w:szCs w:val="22"/>
              </w:rPr>
            </w:pPr>
            <w:r>
              <w:rPr>
                <w:rFonts w:asciiTheme="minorHAnsi" w:hAnsiTheme="minorHAnsi" w:cstheme="minorHAnsi"/>
                <w:sz w:val="22"/>
                <w:szCs w:val="22"/>
              </w:rPr>
              <w:t>Digital deficits created during remote learning periods – PP students were less likely to have their own device at home making access to live teaching difficult – this may have led to gaps in learning that we needed to identify and address.</w:t>
            </w:r>
          </w:p>
        </w:tc>
      </w:tr>
      <w:tr w:rsidR="006D3275" w14:paraId="1952192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62DC" w14:textId="77777777" w:rsidR="006D3275" w:rsidRDefault="00105B07">
            <w:pPr>
              <w:pStyle w:val="TableRow"/>
              <w:rPr>
                <w:sz w:val="20"/>
                <w:szCs w:val="20"/>
              </w:rPr>
            </w:pPr>
            <w:r>
              <w:rPr>
                <w:sz w:val="20"/>
                <w:szCs w:val="20"/>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85D14" w14:textId="77777777" w:rsidR="006D3275" w:rsidRDefault="00105B07">
            <w:pPr>
              <w:rPr>
                <w:rFonts w:asciiTheme="minorHAnsi" w:hAnsiTheme="minorHAnsi" w:cstheme="minorHAnsi"/>
                <w:sz w:val="22"/>
                <w:szCs w:val="22"/>
              </w:rPr>
            </w:pPr>
            <w:r>
              <w:rPr>
                <w:rFonts w:asciiTheme="minorHAnsi" w:hAnsiTheme="minorHAnsi" w:cstheme="minorHAnsi"/>
                <w:sz w:val="22"/>
                <w:szCs w:val="22"/>
              </w:rPr>
              <w:t>Many PP students have additional needs, complex family circumstances and / or low prior attainment.  This makes intervention complex, requiring a nuanced approach.  See below for breakdown</w:t>
            </w:r>
          </w:p>
          <w:tbl>
            <w:tblPr>
              <w:tblStyle w:val="TableGrid"/>
              <w:tblW w:w="0" w:type="auto"/>
              <w:tblInd w:w="57" w:type="dxa"/>
              <w:tblLook w:val="04A0" w:firstRow="1" w:lastRow="0" w:firstColumn="1" w:lastColumn="0" w:noHBand="0" w:noVBand="1"/>
            </w:tblPr>
            <w:tblGrid>
              <w:gridCol w:w="1289"/>
              <w:gridCol w:w="1454"/>
              <w:gridCol w:w="1275"/>
              <w:gridCol w:w="1276"/>
              <w:gridCol w:w="1276"/>
              <w:gridCol w:w="1156"/>
            </w:tblGrid>
            <w:tr w:rsidR="006D3275" w14:paraId="3AC1CC79" w14:textId="77777777">
              <w:tc>
                <w:tcPr>
                  <w:tcW w:w="1289" w:type="dxa"/>
                  <w:shd w:val="clear" w:color="auto" w:fill="D9D9D9" w:themeFill="background1" w:themeFillShade="D9"/>
                </w:tcPr>
                <w:p w14:paraId="5D4782DC" w14:textId="77777777" w:rsidR="006D3275" w:rsidRDefault="006D3275">
                  <w:pPr>
                    <w:rPr>
                      <w:rFonts w:asciiTheme="minorHAnsi" w:hAnsiTheme="minorHAnsi" w:cstheme="minorHAnsi"/>
                      <w:b/>
                      <w:sz w:val="22"/>
                      <w:szCs w:val="22"/>
                    </w:rPr>
                  </w:pPr>
                </w:p>
              </w:tc>
              <w:tc>
                <w:tcPr>
                  <w:tcW w:w="1454" w:type="dxa"/>
                  <w:shd w:val="clear" w:color="auto" w:fill="D9D9D9" w:themeFill="background1" w:themeFillShade="D9"/>
                </w:tcPr>
                <w:p w14:paraId="1B740D69" w14:textId="77777777" w:rsidR="006D3275" w:rsidRDefault="00105B07">
                  <w:pPr>
                    <w:rPr>
                      <w:rFonts w:asciiTheme="minorHAnsi" w:hAnsiTheme="minorHAnsi" w:cstheme="minorHAnsi"/>
                      <w:b/>
                      <w:sz w:val="22"/>
                      <w:szCs w:val="22"/>
                    </w:rPr>
                  </w:pPr>
                  <w:r>
                    <w:rPr>
                      <w:rFonts w:asciiTheme="minorHAnsi" w:hAnsiTheme="minorHAnsi" w:cstheme="minorHAnsi"/>
                      <w:b/>
                      <w:sz w:val="22"/>
                      <w:szCs w:val="22"/>
                    </w:rPr>
                    <w:t>Y7 (231)</w:t>
                  </w:r>
                </w:p>
              </w:tc>
              <w:tc>
                <w:tcPr>
                  <w:tcW w:w="1275" w:type="dxa"/>
                  <w:shd w:val="clear" w:color="auto" w:fill="D9D9D9" w:themeFill="background1" w:themeFillShade="D9"/>
                </w:tcPr>
                <w:p w14:paraId="4E3346AA" w14:textId="0717780D" w:rsidR="006D3275" w:rsidRDefault="00105B07">
                  <w:pPr>
                    <w:rPr>
                      <w:rFonts w:asciiTheme="minorHAnsi" w:hAnsiTheme="minorHAnsi" w:cstheme="minorHAnsi"/>
                      <w:b/>
                      <w:sz w:val="22"/>
                      <w:szCs w:val="22"/>
                    </w:rPr>
                  </w:pPr>
                  <w:r>
                    <w:rPr>
                      <w:rFonts w:asciiTheme="minorHAnsi" w:hAnsiTheme="minorHAnsi" w:cstheme="minorHAnsi"/>
                      <w:b/>
                      <w:sz w:val="22"/>
                      <w:szCs w:val="22"/>
                    </w:rPr>
                    <w:t>Y8 (2</w:t>
                  </w:r>
                  <w:r w:rsidR="009263F6">
                    <w:rPr>
                      <w:rFonts w:asciiTheme="minorHAnsi" w:hAnsiTheme="minorHAnsi" w:cstheme="minorHAnsi"/>
                      <w:b/>
                      <w:sz w:val="22"/>
                      <w:szCs w:val="22"/>
                    </w:rPr>
                    <w:t>31</w:t>
                  </w:r>
                  <w:r>
                    <w:rPr>
                      <w:rFonts w:asciiTheme="minorHAnsi" w:hAnsiTheme="minorHAnsi" w:cstheme="minorHAnsi"/>
                      <w:b/>
                      <w:sz w:val="22"/>
                      <w:szCs w:val="22"/>
                    </w:rPr>
                    <w:t>)</w:t>
                  </w:r>
                </w:p>
              </w:tc>
              <w:tc>
                <w:tcPr>
                  <w:tcW w:w="1276" w:type="dxa"/>
                  <w:shd w:val="clear" w:color="auto" w:fill="D9D9D9" w:themeFill="background1" w:themeFillShade="D9"/>
                </w:tcPr>
                <w:p w14:paraId="202AD993" w14:textId="611D25C7" w:rsidR="006D3275" w:rsidRDefault="00105B07">
                  <w:pPr>
                    <w:rPr>
                      <w:rFonts w:asciiTheme="minorHAnsi" w:hAnsiTheme="minorHAnsi" w:cstheme="minorHAnsi"/>
                      <w:b/>
                      <w:sz w:val="22"/>
                      <w:szCs w:val="22"/>
                    </w:rPr>
                  </w:pPr>
                  <w:r>
                    <w:rPr>
                      <w:rFonts w:asciiTheme="minorHAnsi" w:hAnsiTheme="minorHAnsi" w:cstheme="minorHAnsi"/>
                      <w:b/>
                      <w:sz w:val="22"/>
                      <w:szCs w:val="22"/>
                    </w:rPr>
                    <w:t>Y9 (2</w:t>
                  </w:r>
                  <w:r w:rsidR="009263F6">
                    <w:rPr>
                      <w:rFonts w:asciiTheme="minorHAnsi" w:hAnsiTheme="minorHAnsi" w:cstheme="minorHAnsi"/>
                      <w:b/>
                      <w:sz w:val="22"/>
                      <w:szCs w:val="22"/>
                    </w:rPr>
                    <w:t>22</w:t>
                  </w:r>
                  <w:r>
                    <w:rPr>
                      <w:rFonts w:asciiTheme="minorHAnsi" w:hAnsiTheme="minorHAnsi" w:cstheme="minorHAnsi"/>
                      <w:b/>
                      <w:sz w:val="22"/>
                      <w:szCs w:val="22"/>
                    </w:rPr>
                    <w:t>)</w:t>
                  </w:r>
                </w:p>
              </w:tc>
              <w:tc>
                <w:tcPr>
                  <w:tcW w:w="1276" w:type="dxa"/>
                  <w:shd w:val="clear" w:color="auto" w:fill="D9D9D9" w:themeFill="background1" w:themeFillShade="D9"/>
                </w:tcPr>
                <w:p w14:paraId="26E9B2DF" w14:textId="66A6CDDA" w:rsidR="006D3275" w:rsidRDefault="00105B07">
                  <w:pPr>
                    <w:rPr>
                      <w:rFonts w:asciiTheme="minorHAnsi" w:hAnsiTheme="minorHAnsi" w:cstheme="minorHAnsi"/>
                      <w:b/>
                      <w:sz w:val="22"/>
                      <w:szCs w:val="22"/>
                    </w:rPr>
                  </w:pPr>
                  <w:r>
                    <w:rPr>
                      <w:rFonts w:asciiTheme="minorHAnsi" w:hAnsiTheme="minorHAnsi" w:cstheme="minorHAnsi"/>
                      <w:b/>
                      <w:sz w:val="22"/>
                      <w:szCs w:val="22"/>
                    </w:rPr>
                    <w:t>Y10 (2</w:t>
                  </w:r>
                  <w:r w:rsidR="009263F6">
                    <w:rPr>
                      <w:rFonts w:asciiTheme="minorHAnsi" w:hAnsiTheme="minorHAnsi" w:cstheme="minorHAnsi"/>
                      <w:b/>
                      <w:sz w:val="22"/>
                      <w:szCs w:val="22"/>
                    </w:rPr>
                    <w:t>34</w:t>
                  </w:r>
                  <w:r>
                    <w:rPr>
                      <w:rFonts w:asciiTheme="minorHAnsi" w:hAnsiTheme="minorHAnsi" w:cstheme="minorHAnsi"/>
                      <w:b/>
                      <w:sz w:val="22"/>
                      <w:szCs w:val="22"/>
                    </w:rPr>
                    <w:t>)</w:t>
                  </w:r>
                </w:p>
              </w:tc>
              <w:tc>
                <w:tcPr>
                  <w:tcW w:w="1156" w:type="dxa"/>
                  <w:shd w:val="clear" w:color="auto" w:fill="D9D9D9" w:themeFill="background1" w:themeFillShade="D9"/>
                </w:tcPr>
                <w:p w14:paraId="6E7FE003" w14:textId="1ECFAEC1" w:rsidR="006D3275" w:rsidRDefault="00105B07">
                  <w:pPr>
                    <w:rPr>
                      <w:rFonts w:asciiTheme="minorHAnsi" w:hAnsiTheme="minorHAnsi" w:cstheme="minorHAnsi"/>
                      <w:b/>
                      <w:sz w:val="22"/>
                      <w:szCs w:val="22"/>
                    </w:rPr>
                  </w:pPr>
                  <w:r>
                    <w:rPr>
                      <w:rFonts w:asciiTheme="minorHAnsi" w:hAnsiTheme="minorHAnsi" w:cstheme="minorHAnsi"/>
                      <w:b/>
                      <w:sz w:val="22"/>
                      <w:szCs w:val="22"/>
                    </w:rPr>
                    <w:t>Y11 (2</w:t>
                  </w:r>
                  <w:r w:rsidR="009263F6">
                    <w:rPr>
                      <w:rFonts w:asciiTheme="minorHAnsi" w:hAnsiTheme="minorHAnsi" w:cstheme="minorHAnsi"/>
                      <w:b/>
                      <w:sz w:val="22"/>
                      <w:szCs w:val="22"/>
                    </w:rPr>
                    <w:t>2</w:t>
                  </w:r>
                  <w:r>
                    <w:rPr>
                      <w:rFonts w:asciiTheme="minorHAnsi" w:hAnsiTheme="minorHAnsi" w:cstheme="minorHAnsi"/>
                      <w:b/>
                      <w:sz w:val="22"/>
                      <w:szCs w:val="22"/>
                    </w:rPr>
                    <w:t>7)</w:t>
                  </w:r>
                </w:p>
              </w:tc>
            </w:tr>
            <w:tr w:rsidR="006D3275" w14:paraId="79447FC1" w14:textId="77777777">
              <w:tc>
                <w:tcPr>
                  <w:tcW w:w="1289" w:type="dxa"/>
                  <w:shd w:val="clear" w:color="auto" w:fill="D9D9D9" w:themeFill="background1" w:themeFillShade="D9"/>
                </w:tcPr>
                <w:p w14:paraId="37CE21B0" w14:textId="77777777" w:rsidR="006D3275" w:rsidRPr="009263F6" w:rsidRDefault="00105B07">
                  <w:pPr>
                    <w:rPr>
                      <w:rFonts w:asciiTheme="minorHAnsi" w:hAnsiTheme="minorHAnsi" w:cstheme="minorHAnsi"/>
                      <w:b/>
                      <w:color w:val="000000" w:themeColor="text1"/>
                      <w:sz w:val="22"/>
                      <w:szCs w:val="22"/>
                    </w:rPr>
                  </w:pPr>
                  <w:r w:rsidRPr="009263F6">
                    <w:rPr>
                      <w:rFonts w:asciiTheme="minorHAnsi" w:hAnsiTheme="minorHAnsi" w:cstheme="minorHAnsi"/>
                      <w:b/>
                      <w:color w:val="000000" w:themeColor="text1"/>
                      <w:sz w:val="22"/>
                      <w:szCs w:val="22"/>
                    </w:rPr>
                    <w:t xml:space="preserve"> % of PP</w:t>
                  </w:r>
                </w:p>
              </w:tc>
              <w:tc>
                <w:tcPr>
                  <w:tcW w:w="1454" w:type="dxa"/>
                  <w:shd w:val="clear" w:color="auto" w:fill="D9D9D9" w:themeFill="background1" w:themeFillShade="D9"/>
                  <w:vAlign w:val="center"/>
                </w:tcPr>
                <w:p w14:paraId="79EF2DB5" w14:textId="2DD3F755" w:rsidR="006D3275" w:rsidRPr="008B03A3" w:rsidRDefault="009263F6">
                  <w:pPr>
                    <w:jc w:val="center"/>
                    <w:rPr>
                      <w:rFonts w:asciiTheme="minorHAnsi" w:hAnsiTheme="minorHAnsi" w:cstheme="minorHAnsi"/>
                      <w:b/>
                      <w:color w:val="FFFFFF" w:themeColor="background1"/>
                      <w:sz w:val="22"/>
                      <w:szCs w:val="22"/>
                      <w:highlight w:val="red"/>
                    </w:rPr>
                  </w:pPr>
                  <w:r>
                    <w:rPr>
                      <w:rFonts w:asciiTheme="minorHAnsi" w:hAnsiTheme="minorHAnsi" w:cstheme="minorHAnsi"/>
                      <w:b/>
                      <w:color w:val="000000" w:themeColor="text1"/>
                      <w:sz w:val="22"/>
                      <w:szCs w:val="22"/>
                    </w:rPr>
                    <w:t>16.88</w:t>
                  </w:r>
                  <w:r w:rsidR="00105B07" w:rsidRPr="009263F6">
                    <w:rPr>
                      <w:rFonts w:asciiTheme="minorHAnsi" w:hAnsiTheme="minorHAnsi" w:cstheme="minorHAnsi"/>
                      <w:b/>
                      <w:color w:val="000000" w:themeColor="text1"/>
                      <w:sz w:val="22"/>
                      <w:szCs w:val="22"/>
                    </w:rPr>
                    <w:t>%</w:t>
                  </w:r>
                </w:p>
              </w:tc>
              <w:tc>
                <w:tcPr>
                  <w:tcW w:w="1275" w:type="dxa"/>
                  <w:shd w:val="clear" w:color="auto" w:fill="D9D9D9" w:themeFill="background1" w:themeFillShade="D9"/>
                  <w:vAlign w:val="center"/>
                </w:tcPr>
                <w:p w14:paraId="67B9719C" w14:textId="25034981" w:rsidR="006D3275" w:rsidRPr="009263F6" w:rsidRDefault="009263F6" w:rsidP="009263F6">
                  <w:pPr>
                    <w:rPr>
                      <w:rFonts w:asciiTheme="minorHAnsi" w:hAnsiTheme="minorHAnsi" w:cstheme="minorHAnsi"/>
                      <w:b/>
                      <w:color w:val="000000" w:themeColor="text1"/>
                      <w:sz w:val="22"/>
                      <w:szCs w:val="22"/>
                    </w:rPr>
                  </w:pPr>
                  <w:r w:rsidRPr="009263F6">
                    <w:rPr>
                      <w:rFonts w:asciiTheme="minorHAnsi" w:hAnsiTheme="minorHAnsi" w:cstheme="minorHAnsi"/>
                      <w:b/>
                      <w:color w:val="000000" w:themeColor="text1"/>
                      <w:sz w:val="22"/>
                      <w:szCs w:val="22"/>
                    </w:rPr>
                    <w:t>20.78</w:t>
                  </w:r>
                  <w:r w:rsidR="00105B07" w:rsidRPr="009263F6">
                    <w:rPr>
                      <w:rFonts w:asciiTheme="minorHAnsi" w:hAnsiTheme="minorHAnsi" w:cstheme="minorHAnsi"/>
                      <w:b/>
                      <w:color w:val="000000" w:themeColor="text1"/>
                      <w:sz w:val="22"/>
                      <w:szCs w:val="22"/>
                    </w:rPr>
                    <w:t>%</w:t>
                  </w:r>
                </w:p>
              </w:tc>
              <w:tc>
                <w:tcPr>
                  <w:tcW w:w="1276" w:type="dxa"/>
                  <w:shd w:val="clear" w:color="auto" w:fill="D9D9D9" w:themeFill="background1" w:themeFillShade="D9"/>
                  <w:vAlign w:val="center"/>
                </w:tcPr>
                <w:p w14:paraId="50486D6D" w14:textId="3A959D5E" w:rsidR="006D3275" w:rsidRPr="009263F6" w:rsidRDefault="009263F6">
                  <w:pPr>
                    <w:jc w:val="center"/>
                    <w:rPr>
                      <w:rFonts w:asciiTheme="minorHAnsi" w:hAnsiTheme="minorHAnsi" w:cstheme="minorHAnsi"/>
                      <w:b/>
                      <w:color w:val="000000" w:themeColor="text1"/>
                      <w:sz w:val="22"/>
                      <w:szCs w:val="22"/>
                    </w:rPr>
                  </w:pPr>
                  <w:r w:rsidRPr="009263F6">
                    <w:rPr>
                      <w:rFonts w:asciiTheme="minorHAnsi" w:hAnsiTheme="minorHAnsi" w:cstheme="minorHAnsi"/>
                      <w:b/>
                      <w:color w:val="000000" w:themeColor="text1"/>
                      <w:sz w:val="22"/>
                      <w:szCs w:val="22"/>
                    </w:rPr>
                    <w:t>31.08</w:t>
                  </w:r>
                  <w:r w:rsidR="00105B07" w:rsidRPr="009263F6">
                    <w:rPr>
                      <w:rFonts w:asciiTheme="minorHAnsi" w:hAnsiTheme="minorHAnsi" w:cstheme="minorHAnsi"/>
                      <w:b/>
                      <w:color w:val="000000" w:themeColor="text1"/>
                      <w:sz w:val="22"/>
                      <w:szCs w:val="22"/>
                    </w:rPr>
                    <w:t>%</w:t>
                  </w:r>
                </w:p>
              </w:tc>
              <w:tc>
                <w:tcPr>
                  <w:tcW w:w="1276" w:type="dxa"/>
                  <w:shd w:val="clear" w:color="auto" w:fill="D9D9D9" w:themeFill="background1" w:themeFillShade="D9"/>
                  <w:vAlign w:val="center"/>
                </w:tcPr>
                <w:p w14:paraId="059ABCD4" w14:textId="412BE789" w:rsidR="006D3275" w:rsidRPr="009263F6" w:rsidRDefault="00105B07">
                  <w:pPr>
                    <w:jc w:val="center"/>
                    <w:rPr>
                      <w:rFonts w:asciiTheme="minorHAnsi" w:hAnsiTheme="minorHAnsi" w:cstheme="minorHAnsi"/>
                      <w:b/>
                      <w:color w:val="000000" w:themeColor="text1"/>
                      <w:sz w:val="22"/>
                      <w:szCs w:val="22"/>
                    </w:rPr>
                  </w:pPr>
                  <w:r w:rsidRPr="009263F6">
                    <w:rPr>
                      <w:rFonts w:asciiTheme="minorHAnsi" w:hAnsiTheme="minorHAnsi" w:cstheme="minorHAnsi"/>
                      <w:b/>
                      <w:color w:val="000000" w:themeColor="text1"/>
                      <w:sz w:val="22"/>
                      <w:szCs w:val="22"/>
                    </w:rPr>
                    <w:t>2</w:t>
                  </w:r>
                  <w:r w:rsidR="009263F6" w:rsidRPr="009263F6">
                    <w:rPr>
                      <w:rFonts w:asciiTheme="minorHAnsi" w:hAnsiTheme="minorHAnsi" w:cstheme="minorHAnsi"/>
                      <w:b/>
                      <w:color w:val="000000" w:themeColor="text1"/>
                      <w:sz w:val="22"/>
                      <w:szCs w:val="22"/>
                    </w:rPr>
                    <w:t>2.22</w:t>
                  </w:r>
                </w:p>
              </w:tc>
              <w:tc>
                <w:tcPr>
                  <w:tcW w:w="1156" w:type="dxa"/>
                  <w:shd w:val="clear" w:color="auto" w:fill="D9D9D9" w:themeFill="background1" w:themeFillShade="D9"/>
                  <w:vAlign w:val="center"/>
                </w:tcPr>
                <w:p w14:paraId="1C4AB668" w14:textId="089DC880" w:rsidR="006D3275" w:rsidRPr="009263F6" w:rsidRDefault="00105B07">
                  <w:pPr>
                    <w:jc w:val="center"/>
                    <w:rPr>
                      <w:rFonts w:asciiTheme="minorHAnsi" w:hAnsiTheme="minorHAnsi" w:cstheme="minorHAnsi"/>
                      <w:b/>
                      <w:color w:val="000000" w:themeColor="text1"/>
                      <w:sz w:val="22"/>
                      <w:szCs w:val="22"/>
                    </w:rPr>
                  </w:pPr>
                  <w:r w:rsidRPr="009263F6">
                    <w:rPr>
                      <w:rFonts w:asciiTheme="minorHAnsi" w:hAnsiTheme="minorHAnsi" w:cstheme="minorHAnsi"/>
                      <w:b/>
                      <w:color w:val="000000" w:themeColor="text1"/>
                      <w:sz w:val="22"/>
                      <w:szCs w:val="22"/>
                    </w:rPr>
                    <w:t>2</w:t>
                  </w:r>
                  <w:r w:rsidR="009263F6" w:rsidRPr="009263F6">
                    <w:rPr>
                      <w:rFonts w:asciiTheme="minorHAnsi" w:hAnsiTheme="minorHAnsi" w:cstheme="minorHAnsi"/>
                      <w:b/>
                      <w:color w:val="000000" w:themeColor="text1"/>
                      <w:sz w:val="22"/>
                      <w:szCs w:val="22"/>
                    </w:rPr>
                    <w:t>1.59</w:t>
                  </w:r>
                </w:p>
              </w:tc>
            </w:tr>
            <w:tr w:rsidR="006D3275" w14:paraId="44D62895" w14:textId="77777777">
              <w:tc>
                <w:tcPr>
                  <w:tcW w:w="1289" w:type="dxa"/>
                </w:tcPr>
                <w:p w14:paraId="53E6165C" w14:textId="77777777" w:rsidR="006D3275" w:rsidRPr="009263F6" w:rsidRDefault="00105B07">
                  <w:pP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PP</w:t>
                  </w:r>
                </w:p>
              </w:tc>
              <w:tc>
                <w:tcPr>
                  <w:tcW w:w="1454" w:type="dxa"/>
                  <w:vAlign w:val="center"/>
                </w:tcPr>
                <w:p w14:paraId="3CF49C04" w14:textId="79E08DEC" w:rsidR="006D3275" w:rsidRPr="008B03A3" w:rsidRDefault="009263F6">
                  <w:pPr>
                    <w:jc w:val="center"/>
                    <w:rPr>
                      <w:rFonts w:asciiTheme="minorHAnsi" w:hAnsiTheme="minorHAnsi" w:cstheme="minorHAnsi"/>
                      <w:color w:val="FFFFFF" w:themeColor="background1"/>
                      <w:sz w:val="22"/>
                      <w:szCs w:val="22"/>
                      <w:highlight w:val="red"/>
                    </w:rPr>
                  </w:pPr>
                  <w:r w:rsidRPr="009263F6">
                    <w:rPr>
                      <w:rFonts w:asciiTheme="minorHAnsi" w:hAnsiTheme="minorHAnsi" w:cstheme="minorHAnsi"/>
                      <w:color w:val="000000" w:themeColor="text1"/>
                      <w:sz w:val="22"/>
                      <w:szCs w:val="22"/>
                    </w:rPr>
                    <w:t>39</w:t>
                  </w:r>
                </w:p>
              </w:tc>
              <w:tc>
                <w:tcPr>
                  <w:tcW w:w="1275" w:type="dxa"/>
                  <w:vAlign w:val="center"/>
                </w:tcPr>
                <w:p w14:paraId="0F122211" w14:textId="7BF05523"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48</w:t>
                  </w:r>
                </w:p>
              </w:tc>
              <w:tc>
                <w:tcPr>
                  <w:tcW w:w="1276" w:type="dxa"/>
                  <w:vAlign w:val="center"/>
                </w:tcPr>
                <w:p w14:paraId="45B1AD22" w14:textId="162CF6CB"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69</w:t>
                  </w:r>
                </w:p>
              </w:tc>
              <w:tc>
                <w:tcPr>
                  <w:tcW w:w="1276" w:type="dxa"/>
                  <w:vAlign w:val="center"/>
                </w:tcPr>
                <w:p w14:paraId="4C4BCBB7" w14:textId="662C22AE"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52</w:t>
                  </w:r>
                </w:p>
              </w:tc>
              <w:tc>
                <w:tcPr>
                  <w:tcW w:w="1156" w:type="dxa"/>
                  <w:vAlign w:val="center"/>
                </w:tcPr>
                <w:p w14:paraId="12D30792" w14:textId="38FDDC4E"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49</w:t>
                  </w:r>
                </w:p>
              </w:tc>
            </w:tr>
            <w:tr w:rsidR="006D3275" w14:paraId="73A33B14" w14:textId="77777777">
              <w:tc>
                <w:tcPr>
                  <w:tcW w:w="1289" w:type="dxa"/>
                </w:tcPr>
                <w:p w14:paraId="66DFACF9" w14:textId="77777777" w:rsidR="006D3275" w:rsidRPr="009263F6" w:rsidRDefault="00105B07">
                  <w:pP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PP + SEND K together</w:t>
                  </w:r>
                </w:p>
              </w:tc>
              <w:tc>
                <w:tcPr>
                  <w:tcW w:w="1454" w:type="dxa"/>
                  <w:vAlign w:val="center"/>
                </w:tcPr>
                <w:p w14:paraId="2DFBCC49" w14:textId="5E5E2675"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8</w:t>
                  </w:r>
                </w:p>
              </w:tc>
              <w:tc>
                <w:tcPr>
                  <w:tcW w:w="1275" w:type="dxa"/>
                  <w:vAlign w:val="center"/>
                </w:tcPr>
                <w:p w14:paraId="2FD8E1B7" w14:textId="1E78A92A"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5</w:t>
                  </w:r>
                </w:p>
              </w:tc>
              <w:tc>
                <w:tcPr>
                  <w:tcW w:w="1276" w:type="dxa"/>
                  <w:vAlign w:val="center"/>
                </w:tcPr>
                <w:p w14:paraId="2E57F11D" w14:textId="69509556"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12</w:t>
                  </w:r>
                </w:p>
              </w:tc>
              <w:tc>
                <w:tcPr>
                  <w:tcW w:w="1276" w:type="dxa"/>
                  <w:vAlign w:val="center"/>
                </w:tcPr>
                <w:p w14:paraId="7EC9B1E2" w14:textId="70B34F3F"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4</w:t>
                  </w:r>
                </w:p>
              </w:tc>
              <w:tc>
                <w:tcPr>
                  <w:tcW w:w="1156" w:type="dxa"/>
                  <w:vAlign w:val="center"/>
                </w:tcPr>
                <w:p w14:paraId="1ABA2ED4" w14:textId="169910F8"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3</w:t>
                  </w:r>
                </w:p>
              </w:tc>
            </w:tr>
            <w:tr w:rsidR="006D3275" w14:paraId="60084A86" w14:textId="77777777">
              <w:tc>
                <w:tcPr>
                  <w:tcW w:w="1289" w:type="dxa"/>
                </w:tcPr>
                <w:p w14:paraId="581E53B8" w14:textId="77777777" w:rsidR="006D3275" w:rsidRPr="009263F6" w:rsidRDefault="00105B07">
                  <w:pP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PP + EHCP together</w:t>
                  </w:r>
                </w:p>
              </w:tc>
              <w:tc>
                <w:tcPr>
                  <w:tcW w:w="1454" w:type="dxa"/>
                  <w:vAlign w:val="center"/>
                </w:tcPr>
                <w:p w14:paraId="1E7E9196" w14:textId="280695F9"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4</w:t>
                  </w:r>
                </w:p>
              </w:tc>
              <w:tc>
                <w:tcPr>
                  <w:tcW w:w="1275" w:type="dxa"/>
                  <w:vAlign w:val="center"/>
                </w:tcPr>
                <w:p w14:paraId="78A3F5DD" w14:textId="5ED70BD7"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3</w:t>
                  </w:r>
                </w:p>
              </w:tc>
              <w:tc>
                <w:tcPr>
                  <w:tcW w:w="1276" w:type="dxa"/>
                  <w:vAlign w:val="center"/>
                </w:tcPr>
                <w:p w14:paraId="451C1F56" w14:textId="1F9DD337"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3</w:t>
                  </w:r>
                </w:p>
              </w:tc>
              <w:tc>
                <w:tcPr>
                  <w:tcW w:w="1276" w:type="dxa"/>
                  <w:vAlign w:val="center"/>
                </w:tcPr>
                <w:p w14:paraId="62EB106A" w14:textId="146A2B81"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3</w:t>
                  </w:r>
                </w:p>
              </w:tc>
              <w:tc>
                <w:tcPr>
                  <w:tcW w:w="1156" w:type="dxa"/>
                  <w:vAlign w:val="center"/>
                </w:tcPr>
                <w:p w14:paraId="6EE19B1B" w14:textId="14C32C6B" w:rsidR="006D3275" w:rsidRPr="009263F6" w:rsidRDefault="009263F6">
                  <w:pPr>
                    <w:jc w:val="center"/>
                    <w:rPr>
                      <w:rFonts w:asciiTheme="minorHAnsi" w:hAnsiTheme="minorHAnsi" w:cstheme="minorHAnsi"/>
                      <w:color w:val="000000" w:themeColor="text1"/>
                      <w:sz w:val="22"/>
                      <w:szCs w:val="22"/>
                    </w:rPr>
                  </w:pPr>
                  <w:r w:rsidRPr="009263F6">
                    <w:rPr>
                      <w:rFonts w:asciiTheme="minorHAnsi" w:hAnsiTheme="minorHAnsi" w:cstheme="minorHAnsi"/>
                      <w:color w:val="000000" w:themeColor="text1"/>
                      <w:sz w:val="22"/>
                      <w:szCs w:val="22"/>
                    </w:rPr>
                    <w:t>3</w:t>
                  </w:r>
                </w:p>
              </w:tc>
            </w:tr>
          </w:tbl>
          <w:p w14:paraId="391FF04A" w14:textId="77777777" w:rsidR="006D3275" w:rsidRDefault="006D3275">
            <w:pPr>
              <w:rPr>
                <w:rFonts w:asciiTheme="minorHAnsi" w:hAnsiTheme="minorHAnsi" w:cstheme="minorHAnsi"/>
                <w:i/>
                <w:sz w:val="22"/>
                <w:szCs w:val="22"/>
              </w:rPr>
            </w:pPr>
          </w:p>
        </w:tc>
      </w:tr>
      <w:tr w:rsidR="006D3275" w14:paraId="55B7C2BC" w14:textId="77777777">
        <w:trPr>
          <w:trHeight w:val="80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D7F0" w14:textId="77777777" w:rsidR="006D3275" w:rsidRDefault="00105B07">
            <w:pPr>
              <w:pStyle w:val="TableRow"/>
              <w:rPr>
                <w:sz w:val="20"/>
                <w:szCs w:val="20"/>
              </w:rPr>
            </w:pPr>
            <w:r>
              <w:rPr>
                <w:sz w:val="20"/>
                <w:szCs w:val="20"/>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80C2B" w14:textId="77777777" w:rsidR="006D3275" w:rsidRDefault="00105B07">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Decrease in engagement of hard-to-reach Pupil Premium families and lower aspirations of certain groups</w:t>
            </w:r>
          </w:p>
        </w:tc>
      </w:tr>
      <w:tr w:rsidR="006D3275" w14:paraId="3C5BBAB6" w14:textId="77777777">
        <w:trPr>
          <w:trHeight w:val="80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7C78"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1B6B9" w14:textId="77777777" w:rsidR="006D3275" w:rsidRDefault="00105B07">
            <w:pPr>
              <w:spacing w:line="25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Significant increase in</w:t>
            </w:r>
            <w:r>
              <w:rPr>
                <w:rFonts w:asciiTheme="minorHAnsi" w:hAnsiTheme="minorHAnsi" w:cstheme="minorHAnsi"/>
                <w:b/>
                <w:color w:val="000000" w:themeColor="text1"/>
                <w:sz w:val="22"/>
                <w:szCs w:val="22"/>
              </w:rPr>
              <w:t xml:space="preserve"> </w:t>
            </w:r>
            <w:r>
              <w:rPr>
                <w:rFonts w:asciiTheme="minorHAnsi" w:hAnsiTheme="minorHAnsi" w:cstheme="minorHAnsi"/>
                <w:color w:val="000000" w:themeColor="text1"/>
                <w:sz w:val="22"/>
                <w:szCs w:val="22"/>
              </w:rPr>
              <w:t>Issues with the mental health and well-being of Pupil Premium students</w:t>
            </w:r>
          </w:p>
        </w:tc>
      </w:tr>
      <w:tr w:rsidR="006D3275" w14:paraId="350BBC4D" w14:textId="77777777">
        <w:trPr>
          <w:trHeight w:val="808"/>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BA5A"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7C731" w14:textId="77777777" w:rsidR="006D3275" w:rsidRDefault="00105B07">
            <w:pPr>
              <w:pStyle w:val="TableRowCentered"/>
              <w:jc w:val="left"/>
              <w:rPr>
                <w:rFonts w:asciiTheme="minorHAnsi" w:hAnsiTheme="minorHAnsi" w:cstheme="minorHAnsi"/>
                <w:iCs/>
                <w:sz w:val="22"/>
                <w:szCs w:val="22"/>
              </w:rPr>
            </w:pPr>
            <w:r>
              <w:rPr>
                <w:rFonts w:asciiTheme="minorHAnsi" w:hAnsiTheme="minorHAnsi" w:cstheme="minorHAnsi"/>
                <w:iCs/>
                <w:sz w:val="22"/>
                <w:szCs w:val="22"/>
              </w:rPr>
              <w:t xml:space="preserve">PP students have lower levels of functional literacy than non-PP students in years 7-9.  In addition, we find that they have a need for more explicit teaching of language acquisition and metacognitive approaches to learning.   </w:t>
            </w:r>
          </w:p>
          <w:p w14:paraId="4CA17AFE" w14:textId="77777777" w:rsidR="006D3275" w:rsidRDefault="006D3275">
            <w:pPr>
              <w:pStyle w:val="TableRowCentered"/>
              <w:jc w:val="left"/>
              <w:rPr>
                <w:rFonts w:asciiTheme="minorHAnsi" w:hAnsiTheme="minorHAnsi" w:cstheme="minorHAnsi"/>
                <w:iCs/>
                <w:sz w:val="22"/>
                <w:szCs w:val="22"/>
              </w:rPr>
            </w:pPr>
          </w:p>
          <w:tbl>
            <w:tblPr>
              <w:tblStyle w:val="TableGrid"/>
              <w:tblpPr w:leftFromText="180" w:rightFromText="180" w:vertAnchor="text" w:horzAnchor="margin" w:tblpY="-131"/>
              <w:tblOverlap w:val="never"/>
              <w:tblW w:w="0" w:type="auto"/>
              <w:tblLook w:val="04A0" w:firstRow="1" w:lastRow="0" w:firstColumn="1" w:lastColumn="0" w:noHBand="0" w:noVBand="1"/>
            </w:tblPr>
            <w:tblGrid>
              <w:gridCol w:w="1461"/>
              <w:gridCol w:w="1253"/>
              <w:gridCol w:w="1253"/>
              <w:gridCol w:w="1253"/>
            </w:tblGrid>
            <w:tr w:rsidR="006D3275" w14:paraId="0918C8A3" w14:textId="77777777">
              <w:tc>
                <w:tcPr>
                  <w:tcW w:w="1461" w:type="dxa"/>
                  <w:shd w:val="clear" w:color="auto" w:fill="D9D9D9" w:themeFill="background1" w:themeFillShade="D9"/>
                </w:tcPr>
                <w:p w14:paraId="69F83418" w14:textId="77777777" w:rsidR="006D3275" w:rsidRDefault="006D3275">
                  <w:pPr>
                    <w:pStyle w:val="TableRowCentered"/>
                    <w:ind w:left="0"/>
                    <w:jc w:val="left"/>
                    <w:rPr>
                      <w:b/>
                      <w:sz w:val="20"/>
                    </w:rPr>
                  </w:pPr>
                </w:p>
              </w:tc>
              <w:tc>
                <w:tcPr>
                  <w:tcW w:w="1253" w:type="dxa"/>
                  <w:shd w:val="clear" w:color="auto" w:fill="D9D9D9" w:themeFill="background1" w:themeFillShade="D9"/>
                </w:tcPr>
                <w:p w14:paraId="71F3640B" w14:textId="77777777" w:rsidR="006D3275" w:rsidRDefault="00105B07">
                  <w:pPr>
                    <w:pStyle w:val="TableRowCentered"/>
                    <w:ind w:left="0"/>
                    <w:jc w:val="left"/>
                    <w:rPr>
                      <w:b/>
                      <w:sz w:val="20"/>
                    </w:rPr>
                  </w:pPr>
                  <w:r>
                    <w:rPr>
                      <w:b/>
                      <w:sz w:val="20"/>
                    </w:rPr>
                    <w:t>Y7</w:t>
                  </w:r>
                </w:p>
              </w:tc>
              <w:tc>
                <w:tcPr>
                  <w:tcW w:w="1253" w:type="dxa"/>
                  <w:shd w:val="clear" w:color="auto" w:fill="D9D9D9" w:themeFill="background1" w:themeFillShade="D9"/>
                </w:tcPr>
                <w:p w14:paraId="2151E658" w14:textId="77777777" w:rsidR="006D3275" w:rsidRDefault="00105B07">
                  <w:pPr>
                    <w:pStyle w:val="TableRowCentered"/>
                    <w:ind w:left="0"/>
                    <w:jc w:val="left"/>
                    <w:rPr>
                      <w:b/>
                      <w:sz w:val="20"/>
                    </w:rPr>
                  </w:pPr>
                  <w:r>
                    <w:rPr>
                      <w:b/>
                      <w:sz w:val="20"/>
                    </w:rPr>
                    <w:t>Y8</w:t>
                  </w:r>
                </w:p>
              </w:tc>
              <w:tc>
                <w:tcPr>
                  <w:tcW w:w="1253" w:type="dxa"/>
                  <w:shd w:val="clear" w:color="auto" w:fill="D9D9D9" w:themeFill="background1" w:themeFillShade="D9"/>
                </w:tcPr>
                <w:p w14:paraId="5DFE8A9E" w14:textId="77777777" w:rsidR="006D3275" w:rsidRDefault="00105B07">
                  <w:pPr>
                    <w:pStyle w:val="TableRowCentered"/>
                    <w:ind w:left="0"/>
                    <w:jc w:val="left"/>
                    <w:rPr>
                      <w:b/>
                      <w:sz w:val="20"/>
                    </w:rPr>
                  </w:pPr>
                  <w:r>
                    <w:rPr>
                      <w:b/>
                      <w:sz w:val="20"/>
                    </w:rPr>
                    <w:t xml:space="preserve">Y9 </w:t>
                  </w:r>
                </w:p>
              </w:tc>
            </w:tr>
            <w:tr w:rsidR="006D3275" w14:paraId="694EF046" w14:textId="77777777" w:rsidTr="003444D9">
              <w:tc>
                <w:tcPr>
                  <w:tcW w:w="1461" w:type="dxa"/>
                  <w:shd w:val="clear" w:color="auto" w:fill="D9D9D9" w:themeFill="background1" w:themeFillShade="D9"/>
                </w:tcPr>
                <w:p w14:paraId="16D5C4A6" w14:textId="77777777" w:rsidR="006D3275" w:rsidRDefault="00105B07">
                  <w:pPr>
                    <w:pStyle w:val="TableRowCentered"/>
                    <w:ind w:left="0"/>
                    <w:jc w:val="left"/>
                    <w:rPr>
                      <w:b/>
                      <w:sz w:val="20"/>
                    </w:rPr>
                  </w:pPr>
                  <w:r>
                    <w:rPr>
                      <w:b/>
                      <w:sz w:val="20"/>
                    </w:rPr>
                    <w:t>PP</w:t>
                  </w:r>
                </w:p>
              </w:tc>
              <w:tc>
                <w:tcPr>
                  <w:tcW w:w="1253" w:type="dxa"/>
                  <w:shd w:val="clear" w:color="auto" w:fill="auto"/>
                </w:tcPr>
                <w:p w14:paraId="21E5C6F5" w14:textId="77777777" w:rsidR="006D3275" w:rsidRPr="003444D9" w:rsidRDefault="00105B07">
                  <w:pPr>
                    <w:pStyle w:val="TableRowCentered"/>
                    <w:ind w:left="0"/>
                    <w:jc w:val="left"/>
                    <w:rPr>
                      <w:color w:val="000000" w:themeColor="text1"/>
                      <w:sz w:val="20"/>
                    </w:rPr>
                  </w:pPr>
                  <w:r w:rsidRPr="003444D9">
                    <w:rPr>
                      <w:color w:val="000000" w:themeColor="text1"/>
                      <w:sz w:val="20"/>
                    </w:rPr>
                    <w:t>10.51</w:t>
                  </w:r>
                </w:p>
              </w:tc>
              <w:tc>
                <w:tcPr>
                  <w:tcW w:w="1253" w:type="dxa"/>
                  <w:shd w:val="clear" w:color="auto" w:fill="auto"/>
                </w:tcPr>
                <w:p w14:paraId="070E76C1" w14:textId="77777777" w:rsidR="006D3275" w:rsidRPr="003444D9" w:rsidRDefault="00105B07">
                  <w:pPr>
                    <w:pStyle w:val="TableRowCentered"/>
                    <w:ind w:left="0"/>
                    <w:jc w:val="left"/>
                    <w:rPr>
                      <w:color w:val="000000" w:themeColor="text1"/>
                      <w:sz w:val="20"/>
                    </w:rPr>
                  </w:pPr>
                  <w:r w:rsidRPr="003444D9">
                    <w:rPr>
                      <w:color w:val="000000" w:themeColor="text1"/>
                      <w:sz w:val="20"/>
                    </w:rPr>
                    <w:t>11.70</w:t>
                  </w:r>
                </w:p>
              </w:tc>
              <w:tc>
                <w:tcPr>
                  <w:tcW w:w="1253" w:type="dxa"/>
                  <w:shd w:val="clear" w:color="auto" w:fill="auto"/>
                </w:tcPr>
                <w:p w14:paraId="50EE841B" w14:textId="77777777" w:rsidR="006D3275" w:rsidRPr="003444D9" w:rsidRDefault="00105B07">
                  <w:pPr>
                    <w:pStyle w:val="TableRowCentered"/>
                    <w:ind w:left="0"/>
                    <w:jc w:val="left"/>
                    <w:rPr>
                      <w:color w:val="000000" w:themeColor="text1"/>
                      <w:sz w:val="20"/>
                    </w:rPr>
                  </w:pPr>
                  <w:r w:rsidRPr="003444D9">
                    <w:rPr>
                      <w:color w:val="000000" w:themeColor="text1"/>
                      <w:sz w:val="20"/>
                    </w:rPr>
                    <w:t>12.10</w:t>
                  </w:r>
                </w:p>
              </w:tc>
            </w:tr>
            <w:tr w:rsidR="006D3275" w14:paraId="40AE092C" w14:textId="77777777" w:rsidTr="003444D9">
              <w:tc>
                <w:tcPr>
                  <w:tcW w:w="1461" w:type="dxa"/>
                  <w:shd w:val="clear" w:color="auto" w:fill="D9D9D9" w:themeFill="background1" w:themeFillShade="D9"/>
                </w:tcPr>
                <w:p w14:paraId="14649FEC" w14:textId="77777777" w:rsidR="006D3275" w:rsidRDefault="00105B07">
                  <w:pPr>
                    <w:pStyle w:val="TableRowCentered"/>
                    <w:ind w:left="0"/>
                    <w:jc w:val="left"/>
                    <w:rPr>
                      <w:b/>
                      <w:sz w:val="20"/>
                    </w:rPr>
                  </w:pPr>
                  <w:r>
                    <w:rPr>
                      <w:b/>
                      <w:sz w:val="20"/>
                    </w:rPr>
                    <w:t>Non-PP</w:t>
                  </w:r>
                </w:p>
              </w:tc>
              <w:tc>
                <w:tcPr>
                  <w:tcW w:w="1253" w:type="dxa"/>
                  <w:shd w:val="clear" w:color="auto" w:fill="auto"/>
                </w:tcPr>
                <w:p w14:paraId="7357E930" w14:textId="77777777" w:rsidR="006D3275" w:rsidRPr="003444D9" w:rsidRDefault="00105B07">
                  <w:pPr>
                    <w:pStyle w:val="TableRowCentered"/>
                    <w:ind w:left="0"/>
                    <w:jc w:val="left"/>
                    <w:rPr>
                      <w:color w:val="000000" w:themeColor="text1"/>
                      <w:sz w:val="20"/>
                    </w:rPr>
                  </w:pPr>
                  <w:r w:rsidRPr="003444D9">
                    <w:rPr>
                      <w:color w:val="000000" w:themeColor="text1"/>
                      <w:sz w:val="20"/>
                    </w:rPr>
                    <w:t>11.16</w:t>
                  </w:r>
                </w:p>
              </w:tc>
              <w:tc>
                <w:tcPr>
                  <w:tcW w:w="1253" w:type="dxa"/>
                  <w:shd w:val="clear" w:color="auto" w:fill="auto"/>
                </w:tcPr>
                <w:p w14:paraId="0E99C915" w14:textId="77777777" w:rsidR="006D3275" w:rsidRPr="003444D9" w:rsidRDefault="00105B07">
                  <w:pPr>
                    <w:pStyle w:val="TableRowCentered"/>
                    <w:ind w:left="0"/>
                    <w:jc w:val="left"/>
                    <w:rPr>
                      <w:color w:val="000000" w:themeColor="text1"/>
                      <w:sz w:val="20"/>
                    </w:rPr>
                  </w:pPr>
                  <w:r w:rsidRPr="003444D9">
                    <w:rPr>
                      <w:color w:val="000000" w:themeColor="text1"/>
                      <w:sz w:val="20"/>
                    </w:rPr>
                    <w:t>12.13</w:t>
                  </w:r>
                </w:p>
              </w:tc>
              <w:tc>
                <w:tcPr>
                  <w:tcW w:w="1253" w:type="dxa"/>
                  <w:shd w:val="clear" w:color="auto" w:fill="auto"/>
                </w:tcPr>
                <w:p w14:paraId="3CC3DACF" w14:textId="77777777" w:rsidR="006D3275" w:rsidRPr="003444D9" w:rsidRDefault="00105B07">
                  <w:pPr>
                    <w:pStyle w:val="TableRowCentered"/>
                    <w:ind w:left="0"/>
                    <w:jc w:val="left"/>
                    <w:rPr>
                      <w:color w:val="000000" w:themeColor="text1"/>
                      <w:sz w:val="20"/>
                    </w:rPr>
                  </w:pPr>
                  <w:r w:rsidRPr="003444D9">
                    <w:rPr>
                      <w:color w:val="000000" w:themeColor="text1"/>
                      <w:sz w:val="20"/>
                    </w:rPr>
                    <w:t>12.49</w:t>
                  </w:r>
                </w:p>
              </w:tc>
            </w:tr>
            <w:tr w:rsidR="006D3275" w14:paraId="7FDFA215" w14:textId="77777777" w:rsidTr="003444D9">
              <w:tc>
                <w:tcPr>
                  <w:tcW w:w="1461" w:type="dxa"/>
                  <w:shd w:val="clear" w:color="auto" w:fill="D9D9D9" w:themeFill="background1" w:themeFillShade="D9"/>
                </w:tcPr>
                <w:p w14:paraId="6FA2ABE2" w14:textId="77777777" w:rsidR="006D3275" w:rsidRDefault="00105B07">
                  <w:pPr>
                    <w:pStyle w:val="TableRowCentered"/>
                    <w:ind w:left="0"/>
                    <w:jc w:val="left"/>
                    <w:rPr>
                      <w:b/>
                      <w:sz w:val="20"/>
                    </w:rPr>
                  </w:pPr>
                  <w:r>
                    <w:rPr>
                      <w:b/>
                      <w:sz w:val="20"/>
                    </w:rPr>
                    <w:t>Gap</w:t>
                  </w:r>
                </w:p>
              </w:tc>
              <w:tc>
                <w:tcPr>
                  <w:tcW w:w="1253" w:type="dxa"/>
                  <w:shd w:val="clear" w:color="auto" w:fill="auto"/>
                </w:tcPr>
                <w:p w14:paraId="4EA8E135" w14:textId="77777777" w:rsidR="006D3275" w:rsidRPr="003444D9" w:rsidRDefault="00105B07">
                  <w:pPr>
                    <w:pStyle w:val="TableRowCentered"/>
                    <w:ind w:left="0"/>
                    <w:jc w:val="left"/>
                    <w:rPr>
                      <w:color w:val="000000" w:themeColor="text1"/>
                      <w:sz w:val="20"/>
                    </w:rPr>
                  </w:pPr>
                  <w:r w:rsidRPr="003444D9">
                    <w:rPr>
                      <w:color w:val="000000" w:themeColor="text1"/>
                      <w:sz w:val="20"/>
                    </w:rPr>
                    <w:t>0.65</w:t>
                  </w:r>
                </w:p>
              </w:tc>
              <w:tc>
                <w:tcPr>
                  <w:tcW w:w="1253" w:type="dxa"/>
                  <w:shd w:val="clear" w:color="auto" w:fill="auto"/>
                </w:tcPr>
                <w:p w14:paraId="3FD47B81" w14:textId="77777777" w:rsidR="006D3275" w:rsidRPr="003444D9" w:rsidRDefault="00105B07">
                  <w:pPr>
                    <w:pStyle w:val="TableRowCentered"/>
                    <w:ind w:left="0"/>
                    <w:jc w:val="left"/>
                    <w:rPr>
                      <w:color w:val="000000" w:themeColor="text1"/>
                      <w:sz w:val="20"/>
                    </w:rPr>
                  </w:pPr>
                  <w:r w:rsidRPr="003444D9">
                    <w:rPr>
                      <w:color w:val="000000" w:themeColor="text1"/>
                      <w:sz w:val="20"/>
                    </w:rPr>
                    <w:t>0.43</w:t>
                  </w:r>
                </w:p>
              </w:tc>
              <w:tc>
                <w:tcPr>
                  <w:tcW w:w="1253" w:type="dxa"/>
                  <w:shd w:val="clear" w:color="auto" w:fill="auto"/>
                </w:tcPr>
                <w:p w14:paraId="5592E81E" w14:textId="77777777" w:rsidR="006D3275" w:rsidRPr="003444D9" w:rsidRDefault="00105B07">
                  <w:pPr>
                    <w:pStyle w:val="TableRowCentered"/>
                    <w:ind w:left="0"/>
                    <w:jc w:val="left"/>
                    <w:rPr>
                      <w:color w:val="000000" w:themeColor="text1"/>
                      <w:sz w:val="20"/>
                    </w:rPr>
                  </w:pPr>
                  <w:r w:rsidRPr="003444D9">
                    <w:rPr>
                      <w:color w:val="000000" w:themeColor="text1"/>
                      <w:sz w:val="20"/>
                    </w:rPr>
                    <w:t>0.39</w:t>
                  </w:r>
                </w:p>
              </w:tc>
            </w:tr>
          </w:tbl>
          <w:p w14:paraId="415A0201" w14:textId="77777777" w:rsidR="006D3275" w:rsidRDefault="006D3275">
            <w:pPr>
              <w:spacing w:line="256" w:lineRule="auto"/>
              <w:rPr>
                <w:rFonts w:asciiTheme="minorHAnsi" w:hAnsiTheme="minorHAnsi" w:cstheme="minorHAnsi"/>
                <w:color w:val="000000" w:themeColor="text1"/>
                <w:sz w:val="22"/>
                <w:szCs w:val="22"/>
              </w:rPr>
            </w:pPr>
          </w:p>
        </w:tc>
      </w:tr>
      <w:tr w:rsidR="006D3275" w14:paraId="4E15444B" w14:textId="77777777">
        <w:trPr>
          <w:trHeight w:val="531"/>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AAF2" w14:textId="77777777" w:rsidR="006D3275" w:rsidRDefault="00105B07">
            <w:pPr>
              <w:pStyle w:val="TableRow"/>
              <w:rPr>
                <w:sz w:val="20"/>
                <w:szCs w:val="20"/>
              </w:rPr>
            </w:pPr>
            <w:bookmarkStart w:id="16" w:name="_Toc443397160"/>
            <w:r>
              <w:rPr>
                <w:sz w:val="20"/>
                <w:szCs w:val="20"/>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B8A4" w14:textId="12DFEBCC" w:rsidR="006D3275" w:rsidRDefault="00105B07">
            <w:pPr>
              <w:pStyle w:val="TableRowCentered"/>
              <w:ind w:left="0"/>
              <w:jc w:val="left"/>
              <w:rPr>
                <w:iCs/>
                <w:sz w:val="20"/>
              </w:rPr>
            </w:pPr>
            <w:r>
              <w:rPr>
                <w:iCs/>
                <w:sz w:val="20"/>
              </w:rPr>
              <w:t xml:space="preserve">Attendance of </w:t>
            </w:r>
            <w:r w:rsidR="00F82CED">
              <w:rPr>
                <w:iCs/>
                <w:sz w:val="20"/>
              </w:rPr>
              <w:t xml:space="preserve">pupil </w:t>
            </w:r>
            <w:r>
              <w:rPr>
                <w:iCs/>
                <w:sz w:val="20"/>
              </w:rPr>
              <w:t xml:space="preserve">premium students is </w:t>
            </w:r>
            <w:r w:rsidR="00626CFB">
              <w:rPr>
                <w:iCs/>
                <w:sz w:val="20"/>
              </w:rPr>
              <w:t>5.2</w:t>
            </w:r>
            <w:r>
              <w:rPr>
                <w:iCs/>
                <w:sz w:val="20"/>
              </w:rPr>
              <w:t xml:space="preserve"> % below non-pupil premium students with the widest gap in Year </w:t>
            </w:r>
            <w:r w:rsidR="00F82CED">
              <w:rPr>
                <w:iCs/>
                <w:sz w:val="20"/>
              </w:rPr>
              <w:t>10.</w:t>
            </w:r>
          </w:p>
        </w:tc>
      </w:tr>
    </w:tbl>
    <w:p w14:paraId="20E9CD7C" w14:textId="77777777" w:rsidR="006D3275" w:rsidRDefault="006D3275">
      <w:pPr>
        <w:pStyle w:val="Heading2"/>
        <w:spacing w:before="600"/>
        <w:rPr>
          <w:sz w:val="20"/>
          <w:szCs w:val="20"/>
        </w:rPr>
      </w:pPr>
    </w:p>
    <w:p w14:paraId="447CD887" w14:textId="37C45684" w:rsidR="006D3275" w:rsidRDefault="006D3275">
      <w:pPr>
        <w:pStyle w:val="Heading2"/>
        <w:spacing w:before="600"/>
        <w:rPr>
          <w:sz w:val="20"/>
          <w:szCs w:val="20"/>
        </w:rPr>
      </w:pPr>
    </w:p>
    <w:p w14:paraId="0237C93E" w14:textId="31300759" w:rsidR="009263F6" w:rsidRDefault="009263F6" w:rsidP="009263F6"/>
    <w:p w14:paraId="1A96A12D" w14:textId="1FB1FC8A" w:rsidR="009263F6" w:rsidRDefault="009263F6" w:rsidP="009263F6"/>
    <w:p w14:paraId="0A31EEA9" w14:textId="389D8989" w:rsidR="009263F6" w:rsidRDefault="009263F6" w:rsidP="009263F6"/>
    <w:p w14:paraId="0EB212D5" w14:textId="77777777" w:rsidR="009263F6" w:rsidRPr="009263F6" w:rsidRDefault="009263F6" w:rsidP="009263F6"/>
    <w:p w14:paraId="048B7BA7" w14:textId="77777777" w:rsidR="006D3275" w:rsidRDefault="00105B07">
      <w:pPr>
        <w:pStyle w:val="Heading2"/>
        <w:spacing w:before="600"/>
        <w:rPr>
          <w:sz w:val="20"/>
          <w:szCs w:val="20"/>
        </w:rPr>
      </w:pPr>
      <w:r>
        <w:rPr>
          <w:sz w:val="20"/>
          <w:szCs w:val="20"/>
        </w:rPr>
        <w:lastRenderedPageBreak/>
        <w:t xml:space="preserve">Intended outcomes </w:t>
      </w:r>
    </w:p>
    <w:tbl>
      <w:tblPr>
        <w:tblW w:w="5000" w:type="pct"/>
        <w:tblCellMar>
          <w:left w:w="10" w:type="dxa"/>
          <w:right w:w="10" w:type="dxa"/>
        </w:tblCellMar>
        <w:tblLook w:val="04A0" w:firstRow="1" w:lastRow="0" w:firstColumn="1" w:lastColumn="0" w:noHBand="0" w:noVBand="1"/>
      </w:tblPr>
      <w:tblGrid>
        <w:gridCol w:w="4815"/>
        <w:gridCol w:w="4671"/>
      </w:tblGrid>
      <w:tr w:rsidR="006D3275" w14:paraId="32AD7D74"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6136984" w14:textId="77777777" w:rsidR="006D3275" w:rsidRDefault="00105B07">
            <w:pPr>
              <w:pStyle w:val="TableHeader"/>
              <w:jc w:val="left"/>
              <w:rPr>
                <w:sz w:val="20"/>
                <w:szCs w:val="20"/>
              </w:rPr>
            </w:pPr>
            <w:r>
              <w:rPr>
                <w:sz w:val="20"/>
                <w:szCs w:val="20"/>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1C3E177" w14:textId="77777777" w:rsidR="006D3275" w:rsidRDefault="00105B07">
            <w:pPr>
              <w:pStyle w:val="TableHeader"/>
              <w:jc w:val="left"/>
              <w:rPr>
                <w:sz w:val="20"/>
                <w:szCs w:val="20"/>
              </w:rPr>
            </w:pPr>
            <w:r>
              <w:rPr>
                <w:sz w:val="20"/>
                <w:szCs w:val="20"/>
              </w:rPr>
              <w:t>Success criteria</w:t>
            </w:r>
          </w:p>
        </w:tc>
      </w:tr>
      <w:tr w:rsidR="006D3275" w14:paraId="37FD16FF" w14:textId="77777777">
        <w:trPr>
          <w:trHeight w:val="865"/>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2A235" w14:textId="26E523B8" w:rsidR="006D3275" w:rsidRDefault="00105B07">
            <w:pPr>
              <w:pStyle w:val="TableRowCentered"/>
              <w:ind w:left="0"/>
              <w:jc w:val="left"/>
              <w:rPr>
                <w:rFonts w:asciiTheme="minorHAnsi" w:hAnsiTheme="minorHAnsi" w:cstheme="minorHAnsi"/>
                <w:sz w:val="20"/>
              </w:rPr>
            </w:pPr>
            <w:r>
              <w:rPr>
                <w:rFonts w:asciiTheme="minorHAnsi" w:hAnsiTheme="minorHAnsi" w:cstheme="minorHAnsi"/>
                <w:sz w:val="20"/>
              </w:rPr>
              <w:t xml:space="preserve">Students will achieve </w:t>
            </w:r>
            <w:r w:rsidR="009263F6">
              <w:rPr>
                <w:rFonts w:asciiTheme="minorHAnsi" w:hAnsiTheme="minorHAnsi" w:cstheme="minorHAnsi"/>
                <w:sz w:val="20"/>
              </w:rPr>
              <w:t>in line with</w:t>
            </w:r>
            <w:r>
              <w:rPr>
                <w:rFonts w:asciiTheme="minorHAnsi" w:hAnsiTheme="minorHAnsi" w:cstheme="minorHAnsi"/>
                <w:sz w:val="20"/>
              </w:rPr>
              <w:t xml:space="preserve"> expectations based on KS4 outcomes by 2024.</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A7A5" w14:textId="2AB5F9C2" w:rsidR="006D3275" w:rsidRDefault="00105B07">
            <w:pPr>
              <w:pStyle w:val="TableRowCentered"/>
              <w:ind w:left="0"/>
              <w:jc w:val="left"/>
              <w:rPr>
                <w:rFonts w:asciiTheme="minorHAnsi" w:hAnsiTheme="minorHAnsi" w:cstheme="minorHAnsi"/>
                <w:sz w:val="20"/>
              </w:rPr>
            </w:pPr>
            <w:r>
              <w:rPr>
                <w:rFonts w:asciiTheme="minorHAnsi" w:hAnsiTheme="minorHAnsi" w:cstheme="minorHAnsi"/>
                <w:iCs/>
                <w:color w:val="auto"/>
                <w:sz w:val="20"/>
              </w:rPr>
              <w:t xml:space="preserve">The majority of students should achieve their FFT target grades – based on </w:t>
            </w:r>
            <w:r w:rsidR="00446342">
              <w:rPr>
                <w:rFonts w:asciiTheme="minorHAnsi" w:hAnsiTheme="minorHAnsi" w:cstheme="minorHAnsi"/>
                <w:iCs/>
                <w:color w:val="auto"/>
                <w:sz w:val="20"/>
              </w:rPr>
              <w:t>5</w:t>
            </w:r>
            <w:r>
              <w:rPr>
                <w:rFonts w:asciiTheme="minorHAnsi" w:hAnsiTheme="minorHAnsi" w:cstheme="minorHAnsi"/>
                <w:iCs/>
                <w:color w:val="auto"/>
                <w:sz w:val="20"/>
              </w:rPr>
              <w:t>0</w:t>
            </w:r>
            <w:r>
              <w:rPr>
                <w:rFonts w:asciiTheme="minorHAnsi" w:hAnsiTheme="minorHAnsi" w:cstheme="minorHAnsi"/>
                <w:iCs/>
                <w:color w:val="auto"/>
                <w:sz w:val="20"/>
                <w:vertAlign w:val="superscript"/>
              </w:rPr>
              <w:t>th</w:t>
            </w:r>
            <w:r>
              <w:rPr>
                <w:rFonts w:asciiTheme="minorHAnsi" w:hAnsiTheme="minorHAnsi" w:cstheme="minorHAnsi"/>
                <w:iCs/>
                <w:color w:val="auto"/>
                <w:sz w:val="20"/>
              </w:rPr>
              <w:t xml:space="preserve"> percentile expectations to achieve parity against national non-PP cohort.</w:t>
            </w:r>
          </w:p>
        </w:tc>
      </w:tr>
      <w:tr w:rsidR="006D3275" w14:paraId="0EB959D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7F501" w14:textId="77777777" w:rsidR="006D3275" w:rsidRDefault="00105B07">
            <w:pPr>
              <w:pStyle w:val="TableRow"/>
              <w:rPr>
                <w:rFonts w:asciiTheme="minorHAnsi" w:hAnsiTheme="minorHAnsi" w:cstheme="minorHAnsi"/>
                <w:iCs/>
                <w:color w:val="auto"/>
                <w:sz w:val="20"/>
                <w:szCs w:val="20"/>
              </w:rPr>
            </w:pPr>
            <w:r>
              <w:rPr>
                <w:rFonts w:asciiTheme="minorHAnsi" w:hAnsiTheme="minorHAnsi" w:cstheme="minorHAnsi"/>
                <w:iCs/>
                <w:color w:val="auto"/>
                <w:sz w:val="20"/>
                <w:szCs w:val="20"/>
              </w:rPr>
              <w:t>All PP students will be confident in their choices and will have the qualifications necessary to transfer successfully to Post 16 pathways, with many staying at Chosen Hill.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EDBF7" w14:textId="26A797A0" w:rsidR="006D3275" w:rsidRDefault="00105B07">
            <w:pPr>
              <w:pStyle w:val="TableRowCentered"/>
              <w:ind w:left="0"/>
              <w:jc w:val="left"/>
              <w:rPr>
                <w:rFonts w:asciiTheme="minorHAnsi" w:hAnsiTheme="minorHAnsi" w:cstheme="minorHAnsi"/>
                <w:sz w:val="20"/>
              </w:rPr>
            </w:pPr>
            <w:r>
              <w:rPr>
                <w:rFonts w:asciiTheme="minorHAnsi" w:hAnsiTheme="minorHAnsi" w:cstheme="minorHAnsi"/>
                <w:iCs/>
                <w:color w:val="auto"/>
                <w:sz w:val="20"/>
              </w:rPr>
              <w:t>All PP students will transfer successfully to Post 16 programmes of study or employment and represent 0% of the school’s NEET figure (3-year trend)</w:t>
            </w:r>
          </w:p>
        </w:tc>
      </w:tr>
      <w:tr w:rsidR="006D3275" w14:paraId="186E17D6" w14:textId="77777777">
        <w:trPr>
          <w:trHeight w:val="779"/>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84F0A" w14:textId="77777777" w:rsidR="006D3275" w:rsidRDefault="00105B07">
            <w:pPr>
              <w:rPr>
                <w:rFonts w:asciiTheme="minorHAnsi" w:hAnsiTheme="minorHAnsi" w:cstheme="minorHAnsi"/>
                <w:iCs/>
                <w:color w:val="auto"/>
                <w:sz w:val="20"/>
                <w:szCs w:val="20"/>
              </w:rPr>
            </w:pPr>
            <w:r>
              <w:rPr>
                <w:rFonts w:asciiTheme="minorHAnsi" w:hAnsiTheme="minorHAnsi" w:cstheme="minorHAnsi"/>
                <w:iCs/>
                <w:color w:val="auto"/>
                <w:sz w:val="20"/>
                <w:szCs w:val="20"/>
              </w:rPr>
              <w:t>All students, regardless of background, will engage well with school and enjoy their educational experience.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D2CD7" w14:textId="77777777" w:rsidR="006D3275" w:rsidRDefault="00105B07">
            <w:pPr>
              <w:pStyle w:val="TableRowCentered"/>
              <w:jc w:val="left"/>
              <w:rPr>
                <w:rFonts w:asciiTheme="minorHAnsi" w:hAnsiTheme="minorHAnsi" w:cstheme="minorHAnsi"/>
                <w:sz w:val="20"/>
              </w:rPr>
            </w:pPr>
            <w:r>
              <w:rPr>
                <w:rFonts w:asciiTheme="minorHAnsi" w:hAnsiTheme="minorHAnsi" w:cstheme="minorHAnsi"/>
                <w:iCs/>
                <w:color w:val="auto"/>
                <w:sz w:val="20"/>
              </w:rPr>
              <w:t>Our PP students will achieve attendance in line with our school average attendance figures for all students.</w:t>
            </w:r>
          </w:p>
        </w:tc>
      </w:tr>
      <w:tr w:rsidR="006D3275" w14:paraId="434E55F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53D97" w14:textId="77777777" w:rsidR="006D3275" w:rsidRDefault="00105B07">
            <w:pPr>
              <w:rPr>
                <w:rFonts w:asciiTheme="minorHAnsi" w:hAnsiTheme="minorHAnsi" w:cstheme="minorHAnsi"/>
                <w:iCs/>
                <w:color w:val="auto"/>
                <w:sz w:val="20"/>
                <w:szCs w:val="20"/>
              </w:rPr>
            </w:pPr>
            <w:r>
              <w:rPr>
                <w:rFonts w:asciiTheme="minorHAnsi" w:hAnsiTheme="minorHAnsi" w:cstheme="minorHAnsi"/>
                <w:iCs/>
                <w:color w:val="auto"/>
                <w:sz w:val="20"/>
                <w:szCs w:val="20"/>
              </w:rPr>
              <w:t>PP students will exhibit patterns of attendance in line with the whole school cohort.  Where persistent absence exists, it will be because of documented needs including medical need.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A352" w14:textId="3BB01252" w:rsidR="006D3275" w:rsidRDefault="00105B07">
            <w:pPr>
              <w:pStyle w:val="TableRowCentered"/>
              <w:jc w:val="left"/>
              <w:rPr>
                <w:rFonts w:asciiTheme="minorHAnsi" w:hAnsiTheme="minorHAnsi" w:cstheme="minorHAnsi"/>
                <w:sz w:val="20"/>
              </w:rPr>
            </w:pPr>
            <w:r>
              <w:rPr>
                <w:rFonts w:asciiTheme="minorHAnsi" w:hAnsiTheme="minorHAnsi" w:cstheme="minorHAnsi"/>
                <w:iCs/>
                <w:color w:val="auto"/>
                <w:sz w:val="20"/>
              </w:rPr>
              <w:t xml:space="preserve">Our PP students will achieve levels of persistent absence in line with our school levels of persistent absence, to ensure attendance is significantly better than national levels for </w:t>
            </w:r>
            <w:r w:rsidR="001F194B">
              <w:rPr>
                <w:rFonts w:asciiTheme="minorHAnsi" w:hAnsiTheme="minorHAnsi" w:cstheme="minorHAnsi"/>
                <w:iCs/>
                <w:color w:val="auto"/>
                <w:sz w:val="20"/>
              </w:rPr>
              <w:t>19</w:t>
            </w:r>
            <w:r>
              <w:rPr>
                <w:rFonts w:asciiTheme="minorHAnsi" w:hAnsiTheme="minorHAnsi" w:cstheme="minorHAnsi"/>
                <w:iCs/>
                <w:color w:val="auto"/>
                <w:sz w:val="20"/>
              </w:rPr>
              <w:t>both PP and non-PP students.</w:t>
            </w:r>
          </w:p>
        </w:tc>
      </w:tr>
    </w:tbl>
    <w:p w14:paraId="2F456C2E" w14:textId="77777777" w:rsidR="006D3275" w:rsidRDefault="006D3275">
      <w:pPr>
        <w:pStyle w:val="Heading2"/>
        <w:rPr>
          <w:sz w:val="20"/>
          <w:szCs w:val="20"/>
        </w:rPr>
      </w:pPr>
    </w:p>
    <w:p w14:paraId="1553ED11" w14:textId="77777777" w:rsidR="006D3275" w:rsidRDefault="00105B07">
      <w:pPr>
        <w:pStyle w:val="Heading3"/>
        <w:rPr>
          <w:sz w:val="20"/>
          <w:szCs w:val="20"/>
        </w:rPr>
      </w:pPr>
      <w:r>
        <w:br w:type="page"/>
      </w:r>
      <w:r>
        <w:rPr>
          <w:sz w:val="20"/>
          <w:szCs w:val="20"/>
        </w:rPr>
        <w:lastRenderedPageBreak/>
        <w:t>Activity in this academic year</w:t>
      </w:r>
    </w:p>
    <w:p w14:paraId="4FBA5C2C" w14:textId="77777777" w:rsidR="006D3275" w:rsidRDefault="00105B07">
      <w:pPr>
        <w:spacing w:after="480"/>
        <w:rPr>
          <w:sz w:val="20"/>
          <w:szCs w:val="20"/>
        </w:rPr>
      </w:pPr>
      <w:r>
        <w:rPr>
          <w:sz w:val="20"/>
          <w:szCs w:val="20"/>
        </w:rPr>
        <w:t xml:space="preserve">This details how we intend to spend our pupil premium </w:t>
      </w:r>
      <w:r>
        <w:rPr>
          <w:b/>
          <w:bCs/>
          <w:sz w:val="20"/>
          <w:szCs w:val="20"/>
        </w:rPr>
        <w:t>this academic year</w:t>
      </w:r>
      <w:r>
        <w:rPr>
          <w:sz w:val="20"/>
          <w:szCs w:val="20"/>
        </w:rPr>
        <w:t xml:space="preserve"> to address the challenges listed above.</w:t>
      </w:r>
    </w:p>
    <w:p w14:paraId="3B6EEA43" w14:textId="77777777" w:rsidR="006D3275" w:rsidRDefault="00105B07">
      <w:pPr>
        <w:pStyle w:val="Heading3"/>
        <w:numPr>
          <w:ilvl w:val="0"/>
          <w:numId w:val="32"/>
        </w:numPr>
        <w:rPr>
          <w:sz w:val="20"/>
          <w:szCs w:val="20"/>
        </w:rPr>
      </w:pPr>
      <w:r>
        <w:rPr>
          <w:sz w:val="20"/>
          <w:szCs w:val="20"/>
        </w:rPr>
        <w:t>Teaching (for example, CPD, recruitment and retention)</w:t>
      </w:r>
    </w:p>
    <w:p w14:paraId="291DE3DC" w14:textId="1175EB6E" w:rsidR="006D3275" w:rsidRPr="00842E3A" w:rsidRDefault="00105B07">
      <w:pPr>
        <w:rPr>
          <w:color w:val="000000" w:themeColor="text1"/>
          <w:sz w:val="20"/>
          <w:szCs w:val="20"/>
        </w:rPr>
      </w:pPr>
      <w:r w:rsidRPr="00842E3A">
        <w:rPr>
          <w:color w:val="000000" w:themeColor="text1"/>
          <w:sz w:val="20"/>
          <w:szCs w:val="20"/>
        </w:rPr>
        <w:t>Budgeted cost: £</w:t>
      </w:r>
      <w:r w:rsidR="00A1640C">
        <w:rPr>
          <w:color w:val="000000" w:themeColor="text1"/>
          <w:sz w:val="20"/>
          <w:szCs w:val="20"/>
        </w:rPr>
        <w:t>18,694</w:t>
      </w:r>
    </w:p>
    <w:tbl>
      <w:tblPr>
        <w:tblW w:w="5678" w:type="pct"/>
        <w:tblInd w:w="-572" w:type="dxa"/>
        <w:tblCellMar>
          <w:left w:w="10" w:type="dxa"/>
          <w:right w:w="10" w:type="dxa"/>
        </w:tblCellMar>
        <w:tblLook w:val="04A0" w:firstRow="1" w:lastRow="0" w:firstColumn="1" w:lastColumn="0" w:noHBand="0" w:noVBand="1"/>
      </w:tblPr>
      <w:tblGrid>
        <w:gridCol w:w="3111"/>
        <w:gridCol w:w="6330"/>
        <w:gridCol w:w="1331"/>
      </w:tblGrid>
      <w:tr w:rsidR="006D3275" w14:paraId="18A567A2" w14:textId="77777777">
        <w:tc>
          <w:tcPr>
            <w:tcW w:w="3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ABB2863" w14:textId="77777777" w:rsidR="006D3275" w:rsidRDefault="00105B07">
            <w:pPr>
              <w:pStyle w:val="TableHeader"/>
              <w:jc w:val="left"/>
              <w:rPr>
                <w:sz w:val="20"/>
                <w:szCs w:val="20"/>
              </w:rPr>
            </w:pPr>
            <w:r>
              <w:rPr>
                <w:sz w:val="20"/>
                <w:szCs w:val="20"/>
              </w:rPr>
              <w:t>Activity</w:t>
            </w:r>
          </w:p>
        </w:tc>
        <w:tc>
          <w:tcPr>
            <w:tcW w:w="63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096A61" w14:textId="77777777" w:rsidR="006D3275" w:rsidRDefault="00105B07">
            <w:pPr>
              <w:pStyle w:val="TableHeader"/>
              <w:jc w:val="left"/>
              <w:rPr>
                <w:sz w:val="20"/>
                <w:szCs w:val="20"/>
              </w:rPr>
            </w:pPr>
            <w:r>
              <w:rPr>
                <w:sz w:val="20"/>
                <w:szCs w:val="20"/>
              </w:rPr>
              <w:t>Evidence that supports this approach</w:t>
            </w:r>
          </w:p>
        </w:tc>
        <w:tc>
          <w:tcPr>
            <w:tcW w:w="13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942F45C" w14:textId="77777777" w:rsidR="006D3275" w:rsidRDefault="00105B07">
            <w:pPr>
              <w:pStyle w:val="TableHeader"/>
              <w:jc w:val="left"/>
              <w:rPr>
                <w:sz w:val="20"/>
                <w:szCs w:val="20"/>
              </w:rPr>
            </w:pPr>
            <w:r>
              <w:rPr>
                <w:sz w:val="20"/>
                <w:szCs w:val="20"/>
              </w:rPr>
              <w:t>Challenge number(s) addressed</w:t>
            </w:r>
          </w:p>
        </w:tc>
      </w:tr>
      <w:tr w:rsidR="006D3275" w14:paraId="6188DB90" w14:textId="77777777">
        <w:trPr>
          <w:trHeight w:val="2501"/>
        </w:trPr>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56F38" w14:textId="77777777" w:rsidR="006D3275" w:rsidRDefault="00105B07">
            <w:pPr>
              <w:pStyle w:val="TableRow"/>
              <w:ind w:left="0"/>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1.1 </w:t>
            </w:r>
            <w:r>
              <w:rPr>
                <w:rFonts w:asciiTheme="minorHAnsi" w:hAnsiTheme="minorHAnsi" w:cstheme="minorHAnsi"/>
                <w:color w:val="000000" w:themeColor="text1"/>
                <w:sz w:val="22"/>
                <w:szCs w:val="22"/>
              </w:rPr>
              <w:t>To provide training &amp; software for new diagnostic reporting tool to give more precise feedback to pupil premium students.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8881E" w14:textId="77777777" w:rsidR="006D3275" w:rsidRDefault="00105B07">
            <w:pPr>
              <w:pStyle w:val="TableRowCentered"/>
              <w:jc w:val="left"/>
              <w:rPr>
                <w:rFonts w:asciiTheme="minorHAnsi" w:hAnsiTheme="minorHAnsi" w:cstheme="minorHAnsi"/>
                <w:color w:val="263238"/>
                <w:sz w:val="22"/>
                <w:szCs w:val="22"/>
                <w:shd w:val="clear" w:color="auto" w:fill="FFFFFF"/>
              </w:rPr>
            </w:pPr>
            <w:r>
              <w:rPr>
                <w:rFonts w:asciiTheme="minorHAnsi" w:hAnsiTheme="minorHAnsi" w:cstheme="minorHAnsi"/>
                <w:color w:val="263238"/>
                <w:sz w:val="22"/>
                <w:szCs w:val="22"/>
                <w:shd w:val="clear" w:color="auto" w:fill="FFFFFF"/>
              </w:rPr>
              <w:t xml:space="preserve">EEF evidence suggest that feedback involving metacognitive and self-regulatory approaches may have a greater impact on disadvantaged pupils and lower prior attainers than other pupils. </w:t>
            </w:r>
          </w:p>
          <w:p w14:paraId="505AB965" w14:textId="77777777" w:rsidR="006D3275" w:rsidRDefault="00105B07">
            <w:pPr>
              <w:pStyle w:val="TableRowCentered"/>
              <w:jc w:val="left"/>
              <w:rPr>
                <w:rFonts w:asciiTheme="minorHAnsi" w:hAnsiTheme="minorHAnsi" w:cstheme="minorHAnsi"/>
                <w:color w:val="263238"/>
                <w:sz w:val="22"/>
                <w:szCs w:val="22"/>
                <w:shd w:val="clear" w:color="auto" w:fill="FFFFFF"/>
              </w:rPr>
            </w:pPr>
            <w:r>
              <w:rPr>
                <w:rFonts w:asciiTheme="minorHAnsi" w:hAnsiTheme="minorHAnsi" w:cstheme="minorHAnsi"/>
                <w:color w:val="263238"/>
                <w:sz w:val="22"/>
                <w:szCs w:val="22"/>
                <w:shd w:val="clear" w:color="auto" w:fill="FFFFFF"/>
              </w:rPr>
              <w:t>Pupils require clear and actionable feedback to employ metacognitive strategies as they learn, as this information informs their understanding of their specific strengths and areas for improvement.</w:t>
            </w:r>
          </w:p>
          <w:p w14:paraId="43873102" w14:textId="77777777" w:rsidR="006D3275" w:rsidRDefault="006D3275">
            <w:pPr>
              <w:pStyle w:val="TableRowCentered"/>
              <w:jc w:val="left"/>
              <w:rPr>
                <w:rFonts w:asciiTheme="minorHAnsi" w:hAnsiTheme="minorHAnsi" w:cstheme="minorHAnsi"/>
                <w:color w:val="263238"/>
                <w:sz w:val="22"/>
                <w:szCs w:val="22"/>
                <w:shd w:val="clear" w:color="auto" w:fill="FFFFFF"/>
              </w:rPr>
            </w:pPr>
          </w:p>
          <w:p w14:paraId="346FE0FC" w14:textId="77777777" w:rsidR="006D3275" w:rsidRDefault="00105B07">
            <w:pPr>
              <w:pStyle w:val="TableRowCentered"/>
              <w:jc w:val="left"/>
              <w:rPr>
                <w:rFonts w:asciiTheme="minorHAnsi" w:hAnsiTheme="minorHAnsi" w:cstheme="minorHAnsi"/>
                <w:b/>
                <w:bCs/>
                <w:color w:val="FF0000"/>
                <w:sz w:val="22"/>
                <w:szCs w:val="22"/>
              </w:rPr>
            </w:pPr>
            <w:r>
              <w:rPr>
                <w:rFonts w:asciiTheme="minorHAnsi" w:hAnsiTheme="minorHAnsi" w:cstheme="minorHAnsi"/>
                <w:b/>
                <w:bCs/>
                <w:color w:val="263238"/>
                <w:sz w:val="22"/>
                <w:szCs w:val="22"/>
                <w:shd w:val="clear" w:color="auto" w:fill="FFFFFF"/>
              </w:rPr>
              <w:t>Progress potential: 5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6F36C"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628541D6"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2D3B9326"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5DF353E9" w14:textId="77777777">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C1D72" w14:textId="77777777" w:rsidR="006D3275" w:rsidRDefault="00105B07">
            <w:pPr>
              <w:pStyle w:val="NoSpacing"/>
              <w:rPr>
                <w:rStyle w:val="normaltextrun"/>
                <w:rFonts w:asciiTheme="minorHAnsi" w:hAnsiTheme="minorHAnsi" w:cstheme="minorHAnsi"/>
                <w:iCs/>
                <w:color w:val="auto"/>
                <w:sz w:val="22"/>
                <w:szCs w:val="22"/>
              </w:rPr>
            </w:pPr>
            <w:r>
              <w:rPr>
                <w:rStyle w:val="normaltextrun"/>
                <w:rFonts w:asciiTheme="minorHAnsi" w:hAnsiTheme="minorHAnsi" w:cstheme="minorHAnsi"/>
                <w:b/>
                <w:bCs/>
                <w:sz w:val="22"/>
                <w:szCs w:val="22"/>
                <w:lang w:eastAsia="en-US"/>
              </w:rPr>
              <w:t>1.2</w:t>
            </w:r>
            <w:r>
              <w:rPr>
                <w:rStyle w:val="normaltextrun"/>
                <w:rFonts w:asciiTheme="minorHAnsi" w:hAnsiTheme="minorHAnsi" w:cstheme="minorHAnsi"/>
                <w:sz w:val="22"/>
                <w:szCs w:val="22"/>
                <w:lang w:eastAsia="en-US"/>
              </w:rPr>
              <w:t xml:space="preserve"> To undertake planned CPD and external training to upskill the literacy expertise of teachers </w:t>
            </w:r>
            <w:r>
              <w:rPr>
                <w:rFonts w:asciiTheme="minorHAnsi" w:hAnsiTheme="minorHAnsi" w:cstheme="minorHAnsi"/>
                <w:iCs/>
                <w:color w:val="auto"/>
                <w:sz w:val="22"/>
                <w:szCs w:val="22"/>
              </w:rPr>
              <w:t>(Paid for out of CPD Budget).</w:t>
            </w:r>
          </w:p>
          <w:p w14:paraId="1AE27B1A" w14:textId="77777777" w:rsidR="006D3275" w:rsidRDefault="006D3275">
            <w:pPr>
              <w:pStyle w:val="TableRow"/>
              <w:ind w:left="0"/>
              <w:rPr>
                <w:rFonts w:asciiTheme="minorHAnsi" w:hAnsiTheme="minorHAnsi" w:cstheme="minorHAnsi"/>
                <w:i/>
                <w:color w:val="FF0000"/>
                <w:sz w:val="22"/>
                <w:szCs w:val="22"/>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9625E" w14:textId="77777777" w:rsidR="006D3275" w:rsidRDefault="00105B07">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rPr>
              <w:t>Our areas of focus for literacy includes reading strategies and vocabulary / language development.  We feel this will also support disadvantaged students.  EEF Teaching &amp; Learning Toolkit suggests reading comprehension and language oracy intervention impacts significantly on progress.</w:t>
            </w:r>
          </w:p>
          <w:p w14:paraId="005FACC2" w14:textId="77777777" w:rsidR="006D3275" w:rsidRDefault="006D3275">
            <w:pPr>
              <w:pStyle w:val="TableRowCentered"/>
              <w:ind w:left="0"/>
              <w:jc w:val="left"/>
              <w:rPr>
                <w:rFonts w:asciiTheme="minorHAnsi" w:hAnsiTheme="minorHAnsi" w:cstheme="minorHAnsi"/>
                <w:color w:val="auto"/>
                <w:sz w:val="22"/>
                <w:szCs w:val="22"/>
              </w:rPr>
            </w:pPr>
          </w:p>
          <w:p w14:paraId="717344A6" w14:textId="77777777" w:rsidR="006D3275" w:rsidRDefault="00105B07">
            <w:pPr>
              <w:pStyle w:val="TableRowCentered"/>
              <w:jc w:val="left"/>
              <w:rPr>
                <w:rFonts w:asciiTheme="minorHAnsi" w:hAnsiTheme="minorHAnsi" w:cstheme="minorHAnsi"/>
                <w:b/>
                <w:bCs/>
                <w:color w:val="FF0000"/>
                <w:sz w:val="22"/>
                <w:szCs w:val="22"/>
              </w:rPr>
            </w:pPr>
            <w:r>
              <w:rPr>
                <w:rFonts w:asciiTheme="minorHAnsi" w:hAnsiTheme="minorHAnsi" w:cstheme="minorHAnsi"/>
                <w:b/>
                <w:bCs/>
                <w:color w:val="auto"/>
                <w:sz w:val="22"/>
                <w:szCs w:val="22"/>
              </w:rPr>
              <w:t>Progress potential: 6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D7AA8" w14:textId="77777777" w:rsidR="006D3275" w:rsidRDefault="006D3275">
            <w:pPr>
              <w:pStyle w:val="TableRowCentered"/>
              <w:ind w:left="0"/>
              <w:jc w:val="left"/>
              <w:rPr>
                <w:rFonts w:asciiTheme="minorHAnsi" w:hAnsiTheme="minorHAnsi" w:cstheme="minorHAnsi"/>
                <w:sz w:val="22"/>
                <w:szCs w:val="22"/>
              </w:rPr>
            </w:pPr>
          </w:p>
          <w:p w14:paraId="7BF76BE6"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29FF950A" w14:textId="77777777">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6E723" w14:textId="77777777" w:rsidR="006D3275" w:rsidRDefault="00105B07">
            <w:pPr>
              <w:pStyle w:val="NoSpacing"/>
              <w:rPr>
                <w:rFonts w:asciiTheme="minorHAnsi" w:hAnsiTheme="minorHAnsi" w:cstheme="minorHAnsi"/>
                <w:iCs/>
                <w:color w:val="auto"/>
                <w:sz w:val="22"/>
                <w:szCs w:val="22"/>
              </w:rPr>
            </w:pPr>
            <w:r>
              <w:rPr>
                <w:rFonts w:asciiTheme="minorHAnsi" w:hAnsiTheme="minorHAnsi" w:cstheme="minorHAnsi"/>
                <w:b/>
                <w:bCs/>
                <w:iCs/>
                <w:color w:val="auto"/>
                <w:sz w:val="22"/>
                <w:szCs w:val="22"/>
              </w:rPr>
              <w:t>1.3</w:t>
            </w:r>
            <w:r>
              <w:rPr>
                <w:rFonts w:asciiTheme="minorHAnsi" w:hAnsiTheme="minorHAnsi" w:cstheme="minorHAnsi"/>
                <w:iCs/>
                <w:color w:val="auto"/>
                <w:sz w:val="22"/>
                <w:szCs w:val="22"/>
              </w:rPr>
              <w:t xml:space="preserve"> To plan and deliver a Mastery curriculum in English and Maths in Years 7-11 (Paid for out of Mastery budget).</w:t>
            </w:r>
          </w:p>
          <w:p w14:paraId="673E0D38" w14:textId="77777777" w:rsidR="006D3275" w:rsidRDefault="006D3275">
            <w:pPr>
              <w:pStyle w:val="TableRow"/>
              <w:ind w:left="0"/>
              <w:rPr>
                <w:rFonts w:asciiTheme="minorHAnsi" w:hAnsiTheme="minorHAnsi" w:cstheme="minorHAnsi"/>
                <w:i/>
                <w:color w:val="FF0000"/>
                <w:sz w:val="22"/>
                <w:szCs w:val="22"/>
              </w:rPr>
            </w:pP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FF93"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263238"/>
                <w:sz w:val="22"/>
                <w:szCs w:val="22"/>
                <w:shd w:val="clear" w:color="auto" w:fill="FFFFFF"/>
              </w:rPr>
              <w:t>Mastery learning approaches aim to ensure that all pupils have mastered key concepts before moving on to the next topic – in contrast with traditional teaching methods in which pupils may be left behind, with gaps of misunderstanding widening.</w:t>
            </w:r>
          </w:p>
          <w:p w14:paraId="2C928943" w14:textId="77777777" w:rsidR="006D3275" w:rsidRDefault="00105B07">
            <w:pPr>
              <w:pStyle w:val="TableRowCentered"/>
              <w:jc w:val="left"/>
              <w:rPr>
                <w:rFonts w:asciiTheme="minorHAnsi" w:hAnsiTheme="minorHAnsi" w:cstheme="minorHAnsi"/>
                <w:b/>
                <w:bCs/>
                <w:color w:val="FF0000"/>
                <w:sz w:val="22"/>
                <w:szCs w:val="22"/>
              </w:rPr>
            </w:pPr>
            <w:r>
              <w:rPr>
                <w:rFonts w:asciiTheme="minorHAnsi" w:hAnsiTheme="minorHAnsi" w:cstheme="minorHAnsi"/>
                <w:b/>
                <w:bCs/>
                <w:color w:val="auto"/>
                <w:sz w:val="22"/>
                <w:szCs w:val="22"/>
              </w:rPr>
              <w:t>Progress potential: 6 months (Maths) 3 months (Reading)</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8A789"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3D2FDE3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706D3E65"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4D2E17C1" w14:textId="77777777">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56D49" w14:textId="77777777" w:rsidR="006D3275" w:rsidRDefault="00105B07">
            <w:pPr>
              <w:pStyle w:val="NoSpacing"/>
              <w:rPr>
                <w:rFonts w:asciiTheme="minorHAnsi" w:hAnsiTheme="minorHAnsi" w:cstheme="minorHAnsi"/>
                <w:iCs/>
                <w:color w:val="auto"/>
                <w:sz w:val="22"/>
                <w:szCs w:val="22"/>
              </w:rPr>
            </w:pPr>
            <w:r>
              <w:rPr>
                <w:rFonts w:asciiTheme="minorHAnsi" w:hAnsiTheme="minorHAnsi" w:cstheme="minorHAnsi"/>
                <w:b/>
                <w:bCs/>
                <w:iCs/>
                <w:color w:val="auto"/>
                <w:sz w:val="22"/>
                <w:szCs w:val="22"/>
              </w:rPr>
              <w:t>1.4</w:t>
            </w:r>
            <w:r>
              <w:rPr>
                <w:rFonts w:asciiTheme="minorHAnsi" w:hAnsiTheme="minorHAnsi" w:cstheme="minorHAnsi"/>
                <w:iCs/>
                <w:color w:val="auto"/>
                <w:sz w:val="22"/>
                <w:szCs w:val="22"/>
              </w:rPr>
              <w:t xml:space="preserve"> To plan and undertake significant CPD and coaching on our Core Teaching and Learning Principles (Paid for out of CPD Budget).</w:t>
            </w: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E5C63" w14:textId="77777777" w:rsidR="006D3275" w:rsidRDefault="00105B07">
            <w:pPr>
              <w:pStyle w:val="TableRowCentered"/>
              <w:jc w:val="left"/>
              <w:rPr>
                <w:rFonts w:asciiTheme="minorHAnsi" w:hAnsiTheme="minorHAnsi" w:cstheme="minorHAnsi"/>
                <w:color w:val="263238"/>
                <w:sz w:val="22"/>
                <w:szCs w:val="22"/>
                <w:shd w:val="clear" w:color="auto" w:fill="FFFFFF"/>
              </w:rPr>
            </w:pPr>
            <w:r>
              <w:rPr>
                <w:rFonts w:asciiTheme="minorHAnsi" w:hAnsiTheme="minorHAnsi" w:cstheme="minorHAnsi"/>
                <w:color w:val="263238"/>
                <w:sz w:val="22"/>
                <w:szCs w:val="22"/>
                <w:shd w:val="clear" w:color="auto" w:fill="FFFFFF"/>
              </w:rPr>
              <w:t xml:space="preserve">EEF evidence suggest that feedback involving metacognitive and self-regulatory approaches may have a greater impact on disadvantaged pupils and lower prior attainers than other pupils. </w:t>
            </w:r>
          </w:p>
          <w:p w14:paraId="476B3E1F" w14:textId="77777777" w:rsidR="006D3275" w:rsidRDefault="006D3275">
            <w:pPr>
              <w:pStyle w:val="TableRowCentered"/>
              <w:jc w:val="left"/>
              <w:rPr>
                <w:rFonts w:asciiTheme="minorHAnsi" w:hAnsiTheme="minorHAnsi" w:cstheme="minorHAnsi"/>
                <w:color w:val="263238"/>
                <w:sz w:val="22"/>
                <w:szCs w:val="22"/>
                <w:shd w:val="clear" w:color="auto" w:fill="FFFFFF"/>
              </w:rPr>
            </w:pPr>
          </w:p>
          <w:p w14:paraId="783B0446" w14:textId="77777777" w:rsidR="006D3275" w:rsidRDefault="00105B07">
            <w:pPr>
              <w:pStyle w:val="TableRowCentered"/>
              <w:ind w:left="0"/>
              <w:jc w:val="left"/>
              <w:rPr>
                <w:rFonts w:asciiTheme="minorHAnsi" w:hAnsiTheme="minorHAnsi" w:cstheme="minorHAnsi"/>
                <w:b/>
                <w:bCs/>
                <w:color w:val="auto"/>
                <w:sz w:val="22"/>
                <w:szCs w:val="22"/>
              </w:rPr>
            </w:pPr>
            <w:r>
              <w:rPr>
                <w:rFonts w:asciiTheme="minorHAnsi" w:hAnsiTheme="minorHAnsi" w:cstheme="minorHAnsi"/>
                <w:b/>
                <w:bCs/>
                <w:color w:val="auto"/>
                <w:sz w:val="22"/>
                <w:szCs w:val="22"/>
              </w:rPr>
              <w:t>Progress potential: 5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FE98B"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624F3390" w14:textId="77777777" w:rsidR="006D3275" w:rsidRDefault="00105B07">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3</w:t>
            </w:r>
          </w:p>
          <w:p w14:paraId="137A12C0"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2ADADD53" w14:textId="77777777">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2364E" w14:textId="77777777" w:rsidR="006D3275" w:rsidRDefault="00105B07">
            <w:pPr>
              <w:pStyle w:val="NoSpacing"/>
              <w:rPr>
                <w:rFonts w:asciiTheme="minorHAnsi" w:hAnsiTheme="minorHAnsi" w:cstheme="minorHAnsi"/>
                <w:iCs/>
                <w:color w:val="auto"/>
                <w:sz w:val="22"/>
                <w:szCs w:val="22"/>
              </w:rPr>
            </w:pPr>
            <w:r>
              <w:rPr>
                <w:rFonts w:asciiTheme="minorHAnsi" w:hAnsiTheme="minorHAnsi" w:cstheme="minorHAnsi"/>
                <w:b/>
                <w:bCs/>
                <w:iCs/>
                <w:color w:val="auto"/>
                <w:sz w:val="22"/>
                <w:szCs w:val="22"/>
              </w:rPr>
              <w:t xml:space="preserve">1.5 </w:t>
            </w:r>
            <w:r>
              <w:rPr>
                <w:rFonts w:asciiTheme="minorHAnsi" w:hAnsiTheme="minorHAnsi" w:cstheme="minorHAnsi"/>
                <w:iCs/>
                <w:color w:val="auto"/>
                <w:sz w:val="22"/>
                <w:szCs w:val="22"/>
              </w:rPr>
              <w:t>To undertake an LM reading programme (3 mornings per week) across years 7-9 with training provided to all Learning Mentors.</w:t>
            </w: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A3D74" w14:textId="77777777" w:rsidR="006D3275" w:rsidRDefault="00105B07">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rPr>
              <w:t>EEF Teaching &amp; Learning Toolkit suggests reading comprehension and language oracy intervention impacts significantly on progress.</w:t>
            </w:r>
          </w:p>
          <w:p w14:paraId="3314735E" w14:textId="77777777" w:rsidR="006D3275" w:rsidRDefault="006D3275">
            <w:pPr>
              <w:pStyle w:val="TableRowCentered"/>
              <w:ind w:left="0"/>
              <w:jc w:val="left"/>
              <w:rPr>
                <w:rFonts w:asciiTheme="minorHAnsi" w:hAnsiTheme="minorHAnsi" w:cstheme="minorHAnsi"/>
                <w:color w:val="auto"/>
                <w:sz w:val="22"/>
                <w:szCs w:val="22"/>
              </w:rPr>
            </w:pPr>
          </w:p>
          <w:p w14:paraId="329AAA1A" w14:textId="77777777" w:rsidR="006D3275" w:rsidRDefault="00105B07">
            <w:pPr>
              <w:pStyle w:val="TableRowCentered"/>
              <w:jc w:val="left"/>
              <w:rPr>
                <w:rFonts w:asciiTheme="minorHAnsi" w:hAnsiTheme="minorHAnsi" w:cstheme="minorHAnsi"/>
                <w:color w:val="263238"/>
                <w:sz w:val="22"/>
                <w:szCs w:val="22"/>
                <w:shd w:val="clear" w:color="auto" w:fill="FFFFFF"/>
              </w:rPr>
            </w:pPr>
            <w:r>
              <w:rPr>
                <w:rFonts w:asciiTheme="minorHAnsi" w:hAnsiTheme="minorHAnsi" w:cstheme="minorHAnsi"/>
                <w:b/>
                <w:bCs/>
                <w:color w:val="auto"/>
                <w:sz w:val="22"/>
                <w:szCs w:val="22"/>
              </w:rPr>
              <w:t>Progress potential: 6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C6FD3"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76AE2F37" w14:textId="77777777">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993BE" w14:textId="502E9BF3" w:rsidR="006D3275" w:rsidRDefault="00105B07">
            <w:pPr>
              <w:pStyle w:val="NoSpacing"/>
              <w:rPr>
                <w:rFonts w:asciiTheme="minorHAnsi" w:hAnsiTheme="minorHAnsi" w:cstheme="minorHAnsi"/>
                <w:iCs/>
                <w:color w:val="auto"/>
                <w:sz w:val="22"/>
                <w:szCs w:val="22"/>
              </w:rPr>
            </w:pPr>
            <w:r>
              <w:rPr>
                <w:rFonts w:asciiTheme="minorHAnsi" w:hAnsiTheme="minorHAnsi" w:cstheme="minorHAnsi"/>
                <w:b/>
                <w:bCs/>
                <w:iCs/>
                <w:color w:val="auto"/>
                <w:sz w:val="22"/>
                <w:szCs w:val="22"/>
              </w:rPr>
              <w:t xml:space="preserve">1.6 </w:t>
            </w:r>
            <w:r>
              <w:rPr>
                <w:rFonts w:asciiTheme="minorHAnsi" w:hAnsiTheme="minorHAnsi" w:cstheme="minorHAnsi"/>
                <w:iCs/>
                <w:color w:val="auto"/>
                <w:sz w:val="22"/>
                <w:szCs w:val="22"/>
              </w:rPr>
              <w:t>To significantly enhance the use of technology in teaching and learning through the purchase of interactive Smart TVs</w:t>
            </w:r>
            <w:r w:rsidR="00842E3A">
              <w:rPr>
                <w:rFonts w:asciiTheme="minorHAnsi" w:hAnsiTheme="minorHAnsi" w:cstheme="minorHAnsi"/>
                <w:iCs/>
                <w:color w:val="auto"/>
                <w:sz w:val="22"/>
                <w:szCs w:val="22"/>
              </w:rPr>
              <w:t xml:space="preserve"> in Maths</w:t>
            </w:r>
            <w:r w:rsidR="00F233AC">
              <w:rPr>
                <w:rFonts w:asciiTheme="minorHAnsi" w:hAnsiTheme="minorHAnsi" w:cstheme="minorHAnsi"/>
                <w:iCs/>
                <w:color w:val="auto"/>
                <w:sz w:val="22"/>
                <w:szCs w:val="22"/>
              </w:rPr>
              <w:t xml:space="preserve">, </w:t>
            </w:r>
            <w:r w:rsidR="00842E3A">
              <w:rPr>
                <w:rFonts w:asciiTheme="minorHAnsi" w:hAnsiTheme="minorHAnsi" w:cstheme="minorHAnsi"/>
                <w:iCs/>
                <w:color w:val="auto"/>
                <w:sz w:val="22"/>
                <w:szCs w:val="22"/>
              </w:rPr>
              <w:t>new projectors and visualisers in English</w:t>
            </w:r>
            <w:r w:rsidR="00F233AC">
              <w:rPr>
                <w:rFonts w:asciiTheme="minorHAnsi" w:hAnsiTheme="minorHAnsi" w:cstheme="minorHAnsi"/>
                <w:iCs/>
                <w:color w:val="auto"/>
                <w:sz w:val="22"/>
                <w:szCs w:val="22"/>
              </w:rPr>
              <w:t xml:space="preserve"> and </w:t>
            </w:r>
            <w:r w:rsidR="00F233AC">
              <w:rPr>
                <w:rFonts w:asciiTheme="minorHAnsi" w:hAnsiTheme="minorHAnsi" w:cstheme="minorHAnsi"/>
                <w:iCs/>
                <w:color w:val="auto"/>
                <w:sz w:val="22"/>
                <w:szCs w:val="22"/>
              </w:rPr>
              <w:lastRenderedPageBreak/>
              <w:t>Science and cameras in GCSE Photography</w:t>
            </w:r>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A110" w14:textId="7F132CD3" w:rsidR="006D3275" w:rsidRDefault="003F64F4">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rPr>
              <w:lastRenderedPageBreak/>
              <w:t>Recovery Premium Budget was used in 2022/3 to meet this need</w:t>
            </w:r>
            <w:r w:rsidR="00842E3A">
              <w:rPr>
                <w:rFonts w:asciiTheme="minorHAnsi" w:hAnsiTheme="minorHAnsi" w:cstheme="minorHAnsi"/>
                <w:color w:val="auto"/>
                <w:sz w:val="22"/>
                <w:szCs w:val="22"/>
              </w:rPr>
              <w:t xml:space="preserve"> and will be used in 2023/24</w:t>
            </w:r>
          </w:p>
          <w:p w14:paraId="7BA34DB9" w14:textId="77777777" w:rsidR="003F64F4" w:rsidRDefault="003F64F4">
            <w:pPr>
              <w:pStyle w:val="TableRowCentered"/>
              <w:ind w:left="0"/>
              <w:jc w:val="left"/>
              <w:rPr>
                <w:rFonts w:asciiTheme="minorHAnsi" w:hAnsiTheme="minorHAnsi" w:cstheme="minorHAnsi"/>
                <w:color w:val="auto"/>
                <w:sz w:val="22"/>
                <w:szCs w:val="22"/>
              </w:rPr>
            </w:pPr>
          </w:p>
          <w:p w14:paraId="16CAE1CC" w14:textId="77777777" w:rsidR="003F64F4" w:rsidRDefault="003F64F4">
            <w:pPr>
              <w:pStyle w:val="TableRowCentered"/>
              <w:ind w:left="0"/>
              <w:jc w:val="left"/>
              <w:rPr>
                <w:rFonts w:asciiTheme="minorHAnsi" w:hAnsiTheme="minorHAnsi" w:cstheme="minorHAnsi"/>
                <w:color w:val="auto"/>
                <w:sz w:val="22"/>
                <w:szCs w:val="22"/>
              </w:rPr>
            </w:pPr>
          </w:p>
          <w:p w14:paraId="5255AAA7" w14:textId="2AB78719" w:rsidR="003F64F4" w:rsidRDefault="003F64F4">
            <w:pPr>
              <w:pStyle w:val="TableRowCentered"/>
              <w:ind w:left="0"/>
              <w:jc w:val="left"/>
              <w:rPr>
                <w:rFonts w:asciiTheme="minorHAnsi" w:hAnsiTheme="minorHAnsi" w:cstheme="minorHAnsi"/>
                <w:color w:val="auto"/>
                <w:sz w:val="22"/>
                <w:szCs w:val="22"/>
              </w:rPr>
            </w:pPr>
            <w:r>
              <w:rPr>
                <w:rFonts w:asciiTheme="minorHAnsi" w:hAnsiTheme="minorHAnsi" w:cstheme="minorHAnsi"/>
                <w:b/>
                <w:bCs/>
                <w:color w:val="auto"/>
                <w:sz w:val="22"/>
                <w:szCs w:val="22"/>
              </w:rPr>
              <w:t>Progress potential: 5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09F36"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5068AC97"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4</w:t>
            </w:r>
          </w:p>
          <w:p w14:paraId="5AB1EBC1"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C12DFA" w14:paraId="7BB1B563" w14:textId="77777777">
        <w:tc>
          <w:tcPr>
            <w:tcW w:w="3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4CA69" w14:textId="7BA108E0" w:rsidR="00C12DFA" w:rsidRPr="00C12DFA" w:rsidRDefault="00C12DFA">
            <w:pPr>
              <w:pStyle w:val="NoSpacing"/>
              <w:rPr>
                <w:rFonts w:asciiTheme="minorHAnsi" w:hAnsiTheme="minorHAnsi" w:cstheme="minorHAnsi"/>
                <w:bCs/>
                <w:iCs/>
                <w:color w:val="auto"/>
                <w:sz w:val="22"/>
                <w:szCs w:val="22"/>
              </w:rPr>
            </w:pPr>
            <w:r w:rsidRPr="00C12DFA">
              <w:rPr>
                <w:rFonts w:asciiTheme="minorHAnsi" w:hAnsiTheme="minorHAnsi" w:cstheme="minorHAnsi"/>
                <w:bCs/>
                <w:iCs/>
                <w:color w:val="auto"/>
                <w:sz w:val="22"/>
                <w:szCs w:val="22"/>
              </w:rPr>
              <w:t xml:space="preserve">1.7 </w:t>
            </w:r>
            <w:proofErr w:type="spellStart"/>
            <w:r w:rsidRPr="00C12DFA">
              <w:rPr>
                <w:rFonts w:asciiTheme="minorHAnsi" w:hAnsiTheme="minorHAnsi" w:cstheme="minorHAnsi"/>
                <w:bCs/>
                <w:iCs/>
                <w:color w:val="auto"/>
                <w:sz w:val="22"/>
                <w:szCs w:val="22"/>
              </w:rPr>
              <w:t>Sparx</w:t>
            </w:r>
            <w:proofErr w:type="spellEnd"/>
          </w:p>
        </w:tc>
        <w:tc>
          <w:tcPr>
            <w:tcW w:w="6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5DB70" w14:textId="6110DD00" w:rsidR="00C12DFA" w:rsidRDefault="00C12DFA">
            <w:pPr>
              <w:pStyle w:val="TableRowCentered"/>
              <w:ind w:left="0"/>
              <w:jc w:val="left"/>
              <w:rPr>
                <w:rFonts w:asciiTheme="minorHAnsi" w:hAnsiTheme="minorHAnsi" w:cstheme="minorHAnsi"/>
                <w:color w:val="auto"/>
                <w:sz w:val="22"/>
                <w:szCs w:val="22"/>
              </w:rPr>
            </w:pPr>
            <w:r>
              <w:rPr>
                <w:rFonts w:asciiTheme="minorHAnsi" w:hAnsiTheme="minorHAnsi" w:cstheme="minorHAnsi"/>
                <w:color w:val="auto"/>
                <w:sz w:val="22"/>
                <w:szCs w:val="22"/>
              </w:rPr>
              <w:t>Homework analytics platform for Maths to engage all learners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0217E" w14:textId="3D0AA016" w:rsidR="00C12DFA" w:rsidRDefault="004F1DB4">
            <w:pPr>
              <w:pStyle w:val="TableRowCentered"/>
              <w:jc w:val="left"/>
              <w:rPr>
                <w:rFonts w:asciiTheme="minorHAnsi" w:hAnsiTheme="minorHAnsi" w:cstheme="minorHAnsi"/>
                <w:sz w:val="22"/>
                <w:szCs w:val="22"/>
              </w:rPr>
            </w:pPr>
            <w:r>
              <w:rPr>
                <w:rFonts w:asciiTheme="minorHAnsi" w:hAnsiTheme="minorHAnsi" w:cstheme="minorHAnsi"/>
                <w:sz w:val="22"/>
                <w:szCs w:val="22"/>
              </w:rPr>
              <w:t>2</w:t>
            </w:r>
          </w:p>
        </w:tc>
      </w:tr>
    </w:tbl>
    <w:p w14:paraId="13564499" w14:textId="77777777" w:rsidR="006D3275" w:rsidRDefault="006D3275">
      <w:pPr>
        <w:rPr>
          <w:b/>
          <w:bCs/>
          <w:color w:val="104F75"/>
          <w:sz w:val="20"/>
          <w:szCs w:val="20"/>
        </w:rPr>
      </w:pPr>
    </w:p>
    <w:p w14:paraId="0838517F" w14:textId="77777777" w:rsidR="006D3275" w:rsidRDefault="006D3275">
      <w:pPr>
        <w:rPr>
          <w:b/>
          <w:bCs/>
          <w:color w:val="104F75"/>
          <w:sz w:val="20"/>
          <w:szCs w:val="20"/>
        </w:rPr>
      </w:pPr>
    </w:p>
    <w:p w14:paraId="739B3905" w14:textId="77777777" w:rsidR="006D3275" w:rsidRDefault="00105B07">
      <w:pPr>
        <w:pStyle w:val="ListParagraph"/>
        <w:numPr>
          <w:ilvl w:val="0"/>
          <w:numId w:val="32"/>
        </w:numPr>
        <w:rPr>
          <w:b/>
          <w:bCs/>
          <w:color w:val="104F75"/>
          <w:sz w:val="20"/>
          <w:szCs w:val="20"/>
        </w:rPr>
      </w:pPr>
      <w:r>
        <w:rPr>
          <w:b/>
          <w:bCs/>
          <w:color w:val="104F75"/>
          <w:sz w:val="20"/>
          <w:szCs w:val="20"/>
        </w:rPr>
        <w:t xml:space="preserve">Targeted academic support (for example, tutoring, one-to-one support structured interventions) </w:t>
      </w:r>
    </w:p>
    <w:p w14:paraId="24E76463" w14:textId="692EE06B" w:rsidR="006D3275" w:rsidRPr="00842E3A" w:rsidRDefault="00105B07">
      <w:pPr>
        <w:suppressAutoHyphens w:val="0"/>
        <w:spacing w:after="0" w:line="240" w:lineRule="auto"/>
        <w:rPr>
          <w:rFonts w:ascii="Calibri" w:hAnsi="Calibri" w:cs="Calibri"/>
          <w:color w:val="000000" w:themeColor="text1"/>
          <w:sz w:val="22"/>
          <w:szCs w:val="22"/>
        </w:rPr>
      </w:pPr>
      <w:r w:rsidRPr="00842E3A">
        <w:rPr>
          <w:color w:val="000000" w:themeColor="text1"/>
          <w:sz w:val="20"/>
          <w:szCs w:val="20"/>
        </w:rPr>
        <w:t xml:space="preserve">Budgeted cost: </w:t>
      </w:r>
      <w:r w:rsidR="00F233AC">
        <w:rPr>
          <w:color w:val="000000" w:themeColor="text1"/>
          <w:sz w:val="20"/>
          <w:szCs w:val="20"/>
        </w:rPr>
        <w:t>£12</w:t>
      </w:r>
      <w:r w:rsidR="00A1640C">
        <w:rPr>
          <w:color w:val="000000" w:themeColor="text1"/>
          <w:sz w:val="20"/>
          <w:szCs w:val="20"/>
        </w:rPr>
        <w:t>7,713</w:t>
      </w:r>
    </w:p>
    <w:p w14:paraId="5C02EF46" w14:textId="77777777" w:rsidR="006D3275" w:rsidRDefault="006D3275">
      <w:pPr>
        <w:rPr>
          <w:i/>
          <w:iCs/>
          <w:color w:val="auto"/>
          <w:sz w:val="20"/>
          <w:szCs w:val="20"/>
        </w:rPr>
      </w:pPr>
    </w:p>
    <w:p w14:paraId="77A22AF1" w14:textId="77777777" w:rsidR="006D3275" w:rsidRDefault="006D3275">
      <w:pPr>
        <w:rPr>
          <w:sz w:val="20"/>
          <w:szCs w:val="20"/>
        </w:rPr>
      </w:pPr>
    </w:p>
    <w:tbl>
      <w:tblPr>
        <w:tblW w:w="5678" w:type="pct"/>
        <w:tblInd w:w="-572" w:type="dxa"/>
        <w:tblCellMar>
          <w:left w:w="10" w:type="dxa"/>
          <w:right w:w="10" w:type="dxa"/>
        </w:tblCellMar>
        <w:tblLook w:val="04A0" w:firstRow="1" w:lastRow="0" w:firstColumn="1" w:lastColumn="0" w:noHBand="0" w:noVBand="1"/>
      </w:tblPr>
      <w:tblGrid>
        <w:gridCol w:w="3105"/>
        <w:gridCol w:w="6336"/>
        <w:gridCol w:w="1331"/>
      </w:tblGrid>
      <w:tr w:rsidR="006D3275" w14:paraId="17C8903F" w14:textId="77777777">
        <w:tc>
          <w:tcPr>
            <w:tcW w:w="31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3564994" w14:textId="77777777" w:rsidR="006D3275" w:rsidRDefault="00105B07">
            <w:pPr>
              <w:pStyle w:val="TableHeader"/>
              <w:jc w:val="left"/>
              <w:rPr>
                <w:sz w:val="20"/>
                <w:szCs w:val="20"/>
              </w:rPr>
            </w:pPr>
            <w:r>
              <w:rPr>
                <w:sz w:val="20"/>
                <w:szCs w:val="20"/>
              </w:rPr>
              <w:t>Activity</w:t>
            </w:r>
          </w:p>
        </w:tc>
        <w:tc>
          <w:tcPr>
            <w:tcW w:w="63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0516724" w14:textId="77777777" w:rsidR="006D3275" w:rsidRDefault="00105B07">
            <w:pPr>
              <w:pStyle w:val="TableHeader"/>
              <w:jc w:val="left"/>
              <w:rPr>
                <w:sz w:val="20"/>
                <w:szCs w:val="20"/>
              </w:rPr>
            </w:pPr>
            <w:r>
              <w:rPr>
                <w:sz w:val="20"/>
                <w:szCs w:val="20"/>
              </w:rPr>
              <w:t>Evidence that supports this approach</w:t>
            </w:r>
          </w:p>
        </w:tc>
        <w:tc>
          <w:tcPr>
            <w:tcW w:w="13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DEEA8A6" w14:textId="77777777" w:rsidR="006D3275" w:rsidRDefault="00105B07">
            <w:pPr>
              <w:pStyle w:val="TableHeader"/>
              <w:jc w:val="left"/>
              <w:rPr>
                <w:sz w:val="20"/>
                <w:szCs w:val="20"/>
              </w:rPr>
            </w:pPr>
            <w:r>
              <w:rPr>
                <w:sz w:val="20"/>
                <w:szCs w:val="20"/>
              </w:rPr>
              <w:t>Challenge number(s) addressed</w:t>
            </w:r>
          </w:p>
        </w:tc>
      </w:tr>
      <w:tr w:rsidR="006D3275" w14:paraId="64F02431"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26D40" w14:textId="69F22E3B" w:rsidR="006D3275" w:rsidRDefault="00105B07">
            <w:pPr>
              <w:pStyle w:val="TableRow"/>
              <w:ind w:left="0"/>
              <w:rPr>
                <w:rFonts w:asciiTheme="minorHAnsi" w:hAnsiTheme="minorHAnsi" w:cstheme="minorHAnsi"/>
                <w:iCs/>
                <w:sz w:val="22"/>
                <w:szCs w:val="22"/>
              </w:rPr>
            </w:pPr>
            <w:r>
              <w:rPr>
                <w:rFonts w:asciiTheme="minorHAnsi" w:hAnsiTheme="minorHAnsi" w:cstheme="minorHAnsi"/>
                <w:b/>
                <w:bCs/>
                <w:iCs/>
                <w:sz w:val="22"/>
                <w:szCs w:val="22"/>
              </w:rPr>
              <w:t>2.1</w:t>
            </w:r>
            <w:r>
              <w:rPr>
                <w:rFonts w:asciiTheme="minorHAnsi" w:hAnsiTheme="minorHAnsi" w:cstheme="minorHAnsi"/>
                <w:iCs/>
                <w:sz w:val="22"/>
                <w:szCs w:val="22"/>
              </w:rPr>
              <w:t xml:space="preserve"> To have specialist support groups established in KS3 to offer smaller class size interventions that target particular literacy and numeracy recovery. This includes English Intervention in Years 7-9 (2.1.1) and Science intervention in Years 10 and 11 (2.1.2)</w:t>
            </w:r>
          </w:p>
          <w:p w14:paraId="6935D1BE" w14:textId="77777777" w:rsidR="006D3275" w:rsidRDefault="006D3275">
            <w:pPr>
              <w:pStyle w:val="TableRow"/>
              <w:ind w:left="0"/>
              <w:rPr>
                <w:rFonts w:asciiTheme="minorHAnsi" w:hAnsiTheme="minorHAnsi" w:cstheme="minorHAnsi"/>
                <w:iCs/>
                <w:sz w:val="22"/>
                <w:szCs w:val="22"/>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C4748"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EEF Teaching &amp; Learning Toolkit suggests targeted and focused interventions that support collaborative learning, are more effective than more generalised TA deployment within classrooms.  Specific intervention delivery allows teachers to adopt specific strategies to support catch up, whilst providing academic stretch &amp; challenge that supports successful transfer to mainstream KS4.  </w:t>
            </w:r>
          </w:p>
          <w:p w14:paraId="62076627" w14:textId="77777777" w:rsidR="006D3275" w:rsidRDefault="00105B07">
            <w:pPr>
              <w:pStyle w:val="TableRowCentered"/>
              <w:jc w:val="left"/>
              <w:rPr>
                <w:rFonts w:asciiTheme="minorHAnsi" w:hAnsiTheme="minorHAnsi" w:cstheme="minorHAnsi"/>
                <w:b/>
                <w:bCs/>
                <w:color w:val="FF0000"/>
                <w:sz w:val="22"/>
                <w:szCs w:val="22"/>
              </w:rPr>
            </w:pPr>
            <w:r>
              <w:rPr>
                <w:rFonts w:asciiTheme="minorHAnsi" w:hAnsiTheme="minorHAnsi" w:cstheme="minorHAnsi"/>
                <w:b/>
                <w:bCs/>
                <w:color w:val="auto"/>
                <w:sz w:val="22"/>
                <w:szCs w:val="22"/>
              </w:rPr>
              <w:t>Progress potential: 5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CD91"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416926FE" w14:textId="77777777" w:rsidR="006D3275" w:rsidRDefault="006D3275">
            <w:pPr>
              <w:pStyle w:val="TableRowCentered"/>
              <w:jc w:val="left"/>
              <w:rPr>
                <w:rFonts w:asciiTheme="minorHAnsi" w:hAnsiTheme="minorHAnsi" w:cstheme="minorHAnsi"/>
                <w:sz w:val="22"/>
                <w:szCs w:val="22"/>
              </w:rPr>
            </w:pPr>
          </w:p>
          <w:p w14:paraId="7A09A6A7" w14:textId="77777777" w:rsidR="006D3275" w:rsidRDefault="006D3275">
            <w:pPr>
              <w:pStyle w:val="TableRowCentered"/>
              <w:jc w:val="left"/>
              <w:rPr>
                <w:rFonts w:asciiTheme="minorHAnsi" w:hAnsiTheme="minorHAnsi" w:cstheme="minorHAnsi"/>
                <w:sz w:val="22"/>
                <w:szCs w:val="22"/>
              </w:rPr>
            </w:pPr>
          </w:p>
          <w:p w14:paraId="5F4B4057"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63A27C01"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5CCA" w14:textId="77777777" w:rsidR="006D3275" w:rsidRDefault="00105B07">
            <w:pPr>
              <w:pStyle w:val="TableRow"/>
              <w:ind w:left="0"/>
              <w:rPr>
                <w:rFonts w:asciiTheme="minorHAnsi" w:hAnsiTheme="minorHAnsi" w:cstheme="minorHAnsi"/>
                <w:iCs/>
                <w:sz w:val="22"/>
                <w:szCs w:val="22"/>
              </w:rPr>
            </w:pPr>
            <w:r>
              <w:rPr>
                <w:rFonts w:asciiTheme="minorHAnsi" w:hAnsiTheme="minorHAnsi" w:cstheme="minorHAnsi"/>
                <w:b/>
                <w:bCs/>
                <w:iCs/>
                <w:sz w:val="22"/>
                <w:szCs w:val="22"/>
              </w:rPr>
              <w:t>2.2</w:t>
            </w:r>
            <w:r>
              <w:rPr>
                <w:rFonts w:asciiTheme="minorHAnsi" w:hAnsiTheme="minorHAnsi" w:cstheme="minorHAnsi"/>
                <w:iCs/>
                <w:sz w:val="22"/>
                <w:szCs w:val="22"/>
              </w:rPr>
              <w:t xml:space="preserve"> To embed Accelerated Reader across years 7-9.</w:t>
            </w:r>
          </w:p>
          <w:p w14:paraId="5B59AE49" w14:textId="77777777" w:rsidR="006D3275" w:rsidRDefault="006D3275">
            <w:pPr>
              <w:pStyle w:val="TableRow"/>
              <w:ind w:left="0"/>
              <w:rPr>
                <w:rFonts w:asciiTheme="minorHAnsi" w:hAnsiTheme="minorHAnsi" w:cstheme="minorHAnsi"/>
                <w:sz w:val="22"/>
                <w:szCs w:val="22"/>
              </w:rPr>
            </w:pPr>
          </w:p>
          <w:p w14:paraId="1A801EEF" w14:textId="77777777" w:rsidR="006D3275" w:rsidRDefault="006D3275">
            <w:pPr>
              <w:pStyle w:val="TableRow"/>
              <w:ind w:left="0"/>
              <w:rPr>
                <w:rFonts w:asciiTheme="minorHAnsi" w:hAnsiTheme="minorHAnsi" w:cstheme="minorHAnsi"/>
                <w:sz w:val="22"/>
                <w:szCs w:val="22"/>
              </w:rPr>
            </w:pPr>
          </w:p>
          <w:p w14:paraId="402F6654" w14:textId="77777777" w:rsidR="006D3275" w:rsidRDefault="006D3275">
            <w:pPr>
              <w:pStyle w:val="TableRow"/>
              <w:ind w:left="0"/>
              <w:rPr>
                <w:rFonts w:asciiTheme="minorHAnsi" w:hAnsiTheme="minorHAnsi" w:cstheme="minorHAnsi"/>
                <w:color w:val="FF0000"/>
                <w:sz w:val="22"/>
                <w:szCs w:val="22"/>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847F"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EEF Teaching &amp; Learning Toolkit suggests targeted and focused interventions are more effective than a more generalised TA deployment within classrooms.  Small group intervention also supports collaborative learning.</w:t>
            </w:r>
          </w:p>
          <w:p w14:paraId="3868F020" w14:textId="77777777" w:rsidR="006D3275" w:rsidRDefault="00105B07">
            <w:pPr>
              <w:pStyle w:val="TableRowCentered"/>
              <w:jc w:val="left"/>
              <w:rPr>
                <w:rFonts w:asciiTheme="minorHAnsi" w:hAnsiTheme="minorHAnsi" w:cstheme="minorHAnsi"/>
                <w:b/>
                <w:bCs/>
                <w:color w:val="FF0000"/>
                <w:sz w:val="22"/>
                <w:szCs w:val="22"/>
              </w:rPr>
            </w:pPr>
            <w:r>
              <w:rPr>
                <w:rFonts w:asciiTheme="minorHAnsi" w:hAnsiTheme="minorHAnsi" w:cstheme="minorHAnsi"/>
                <w:b/>
                <w:bCs/>
                <w:color w:val="auto"/>
                <w:sz w:val="22"/>
                <w:szCs w:val="22"/>
              </w:rPr>
              <w:t>Progress potential: 5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0DC5C"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22884BBE"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103F" w14:textId="77777777"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2.3</w:t>
            </w:r>
            <w:r>
              <w:rPr>
                <w:rFonts w:asciiTheme="minorHAnsi" w:hAnsiTheme="minorHAnsi" w:cstheme="minorHAnsi"/>
                <w:sz w:val="22"/>
                <w:szCs w:val="22"/>
              </w:rPr>
              <w:t xml:space="preserve"> To continue tailored targeted EAL focused support. </w:t>
            </w:r>
          </w:p>
          <w:p w14:paraId="11883195" w14:textId="77777777" w:rsidR="006D3275" w:rsidRDefault="006D3275">
            <w:pPr>
              <w:pStyle w:val="TableRow"/>
              <w:ind w:left="0"/>
              <w:rPr>
                <w:rFonts w:asciiTheme="minorHAnsi" w:hAnsiTheme="minorHAnsi" w:cstheme="minorHAnsi"/>
                <w:sz w:val="22"/>
                <w:szCs w:val="22"/>
              </w:rPr>
            </w:pPr>
          </w:p>
          <w:p w14:paraId="30E2DBCD" w14:textId="77777777" w:rsidR="006D3275" w:rsidRDefault="006D3275">
            <w:pPr>
              <w:pStyle w:val="TableRow"/>
              <w:rPr>
                <w:rFonts w:asciiTheme="minorHAnsi" w:hAnsiTheme="minorHAnsi" w:cstheme="minorHAnsi"/>
                <w:sz w:val="22"/>
                <w:szCs w:val="22"/>
              </w:rPr>
            </w:pPr>
          </w:p>
          <w:p w14:paraId="0A170392" w14:textId="77777777" w:rsidR="006D3275" w:rsidRDefault="006D3275">
            <w:pPr>
              <w:pStyle w:val="TableRow"/>
              <w:ind w:left="0"/>
              <w:rPr>
                <w:rFonts w:asciiTheme="minorHAnsi" w:hAnsiTheme="minorHAnsi" w:cstheme="minorHAnsi"/>
                <w:sz w:val="22"/>
                <w:szCs w:val="22"/>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09F14"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EEF Teaching &amp; Learning Toolkit suggests targeted and focused interventions are more effective than a more generalised TA deployment within classrooms.  Small group intervention also supports collaborative learning.</w:t>
            </w:r>
          </w:p>
          <w:p w14:paraId="3D138E18" w14:textId="77777777" w:rsidR="006D3275" w:rsidRDefault="00105B07">
            <w:pPr>
              <w:pStyle w:val="TableRowCentered"/>
              <w:jc w:val="left"/>
              <w:rPr>
                <w:rFonts w:asciiTheme="minorHAnsi" w:hAnsiTheme="minorHAnsi" w:cstheme="minorHAnsi"/>
                <w:b/>
                <w:bCs/>
                <w:color w:val="FF0000"/>
                <w:sz w:val="22"/>
                <w:szCs w:val="22"/>
              </w:rPr>
            </w:pPr>
            <w:r>
              <w:rPr>
                <w:rFonts w:asciiTheme="minorHAnsi" w:hAnsiTheme="minorHAnsi" w:cstheme="minorHAnsi"/>
                <w:b/>
                <w:bCs/>
                <w:color w:val="auto"/>
                <w:sz w:val="22"/>
                <w:szCs w:val="22"/>
              </w:rPr>
              <w:t>Progress potential: 5 months</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F01A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362FB385" w14:textId="77777777" w:rsidR="006D3275" w:rsidRDefault="006D3275">
            <w:pPr>
              <w:pStyle w:val="TableRowCentered"/>
              <w:jc w:val="left"/>
              <w:rPr>
                <w:rFonts w:asciiTheme="minorHAnsi" w:hAnsiTheme="minorHAnsi" w:cstheme="minorHAnsi"/>
                <w:sz w:val="22"/>
                <w:szCs w:val="22"/>
              </w:rPr>
            </w:pPr>
          </w:p>
          <w:p w14:paraId="5F06CA35"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6161EEC3"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E6E7F" w14:textId="65EDAC26" w:rsidR="006D3275" w:rsidRDefault="00105B07">
            <w:pPr>
              <w:pStyle w:val="TableRow"/>
              <w:ind w:left="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2.4</w:t>
            </w:r>
            <w:r>
              <w:rPr>
                <w:rFonts w:asciiTheme="minorHAnsi" w:hAnsiTheme="minorHAnsi" w:cstheme="minorHAnsi"/>
                <w:color w:val="000000" w:themeColor="text1"/>
                <w:sz w:val="22"/>
                <w:szCs w:val="22"/>
              </w:rPr>
              <w:t xml:space="preserve"> To provide </w:t>
            </w:r>
            <w:r w:rsidR="003F64F4">
              <w:rPr>
                <w:rFonts w:asciiTheme="minorHAnsi" w:hAnsiTheme="minorHAnsi" w:cstheme="minorHAnsi"/>
                <w:color w:val="000000" w:themeColor="text1"/>
                <w:sz w:val="22"/>
                <w:szCs w:val="22"/>
              </w:rPr>
              <w:t xml:space="preserve">one place on </w:t>
            </w:r>
            <w:r>
              <w:rPr>
                <w:rFonts w:asciiTheme="minorHAnsi" w:hAnsiTheme="minorHAnsi" w:cstheme="minorHAnsi"/>
                <w:color w:val="000000" w:themeColor="text1"/>
                <w:sz w:val="22"/>
                <w:szCs w:val="22"/>
              </w:rPr>
              <w:t>Alternative provision for identified students who are at risk of being NEET (Abbey View 2.4.1) including Pupil premium students.</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1DA00" w14:textId="77777777" w:rsidR="006D3275" w:rsidRDefault="00105B07">
            <w:pPr>
              <w:pStyle w:val="TableRowCentered"/>
              <w:jc w:val="left"/>
              <w:rPr>
                <w:rFonts w:asciiTheme="minorHAnsi" w:hAnsiTheme="minorHAnsi" w:cstheme="minorHAnsi"/>
                <w:color w:val="FF0000"/>
                <w:sz w:val="22"/>
                <w:szCs w:val="22"/>
              </w:rPr>
            </w:pPr>
            <w:r>
              <w:rPr>
                <w:rFonts w:asciiTheme="minorHAnsi" w:hAnsiTheme="minorHAnsi" w:cstheme="minorHAnsi"/>
                <w:color w:val="000000" w:themeColor="text1"/>
                <w:sz w:val="22"/>
                <w:szCs w:val="22"/>
              </w:rPr>
              <w:t>NEET students will not access post 16 education and training and are at a higher risk of unemployment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4FFFF"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219DDD37"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4</w:t>
            </w:r>
          </w:p>
          <w:p w14:paraId="403C38F5"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r w:rsidR="006D3275" w14:paraId="3BA94C0D"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8DEE" w14:textId="56BDA7E1" w:rsidR="006D3275" w:rsidRDefault="00105B07">
            <w:pPr>
              <w:pStyle w:val="TableRow"/>
              <w:ind w:left="0"/>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2.5</w:t>
            </w:r>
            <w:r>
              <w:rPr>
                <w:rFonts w:asciiTheme="minorHAnsi" w:hAnsiTheme="minorHAnsi" w:cstheme="minorHAnsi"/>
                <w:color w:val="000000" w:themeColor="text1"/>
                <w:sz w:val="22"/>
                <w:szCs w:val="22"/>
              </w:rPr>
              <w:t xml:space="preserve"> To subsidise or support additional transport costs for</w:t>
            </w:r>
            <w:r w:rsidR="003F64F4">
              <w:rPr>
                <w:rFonts w:asciiTheme="minorHAnsi" w:hAnsiTheme="minorHAnsi" w:cstheme="minorHAnsi"/>
                <w:color w:val="000000" w:themeColor="text1"/>
                <w:sz w:val="22"/>
                <w:szCs w:val="22"/>
              </w:rPr>
              <w:t xml:space="preserve"> the one place provided at</w:t>
            </w:r>
            <w:r>
              <w:rPr>
                <w:rFonts w:asciiTheme="minorHAnsi" w:hAnsiTheme="minorHAnsi" w:cstheme="minorHAnsi"/>
                <w:color w:val="000000" w:themeColor="text1"/>
                <w:sz w:val="22"/>
                <w:szCs w:val="22"/>
              </w:rPr>
              <w:t xml:space="preserve"> attending alternative provision </w:t>
            </w:r>
            <w:r>
              <w:rPr>
                <w:rFonts w:asciiTheme="minorHAnsi" w:hAnsiTheme="minorHAnsi" w:cstheme="minorHAnsi"/>
                <w:color w:val="000000" w:themeColor="text1"/>
                <w:sz w:val="22"/>
                <w:szCs w:val="22"/>
              </w:rPr>
              <w:lastRenderedPageBreak/>
              <w:t>and other relevant interventions.</w:t>
            </w:r>
          </w:p>
          <w:p w14:paraId="0D7E83D5" w14:textId="77777777" w:rsidR="006D3275" w:rsidRDefault="006D3275">
            <w:pPr>
              <w:pStyle w:val="TableRow"/>
              <w:ind w:left="0"/>
              <w:rPr>
                <w:rFonts w:asciiTheme="minorHAnsi" w:hAnsiTheme="minorHAnsi" w:cstheme="minorHAnsi"/>
                <w:color w:val="FF0000"/>
                <w:sz w:val="22"/>
                <w:szCs w:val="22"/>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447D6" w14:textId="77777777" w:rsidR="006D3275" w:rsidRDefault="00105B07">
            <w:pPr>
              <w:pStyle w:val="TableRowCentered"/>
              <w:jc w:val="left"/>
              <w:rPr>
                <w:rFonts w:asciiTheme="minorHAnsi" w:hAnsiTheme="minorHAnsi" w:cstheme="minorHAnsi"/>
                <w:color w:val="FF0000"/>
                <w:sz w:val="22"/>
                <w:szCs w:val="22"/>
              </w:rPr>
            </w:pPr>
            <w:r>
              <w:rPr>
                <w:rFonts w:asciiTheme="minorHAnsi" w:hAnsiTheme="minorHAnsi" w:cstheme="minorHAnsi"/>
                <w:color w:val="000000" w:themeColor="text1"/>
                <w:sz w:val="22"/>
                <w:szCs w:val="22"/>
              </w:rPr>
              <w:lastRenderedPageBreak/>
              <w:t>NEET students will not access further education and training and are at a higher risk of unemployment.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4C531"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5E5DCA95"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4</w:t>
            </w:r>
          </w:p>
          <w:p w14:paraId="4F31918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r w:rsidR="006D3275" w14:paraId="00BA9402"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75E4B" w14:textId="77777777"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2.6</w:t>
            </w:r>
            <w:r>
              <w:rPr>
                <w:rFonts w:asciiTheme="minorHAnsi" w:hAnsiTheme="minorHAnsi" w:cstheme="minorHAnsi"/>
                <w:sz w:val="22"/>
                <w:szCs w:val="22"/>
              </w:rPr>
              <w:t xml:space="preserve"> To Provide digital devices to PP students as and when required for learning and completing work outside of the classroom.</w:t>
            </w:r>
          </w:p>
          <w:p w14:paraId="29495FB4" w14:textId="77777777" w:rsidR="006D3275" w:rsidRDefault="006D3275">
            <w:pPr>
              <w:pStyle w:val="TableRow"/>
              <w:rPr>
                <w:rFonts w:asciiTheme="minorHAnsi" w:hAnsiTheme="minorHAnsi" w:cstheme="minorHAnsi"/>
                <w:color w:val="FF0000"/>
                <w:sz w:val="22"/>
                <w:szCs w:val="22"/>
              </w:rPr>
            </w:pP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94AE9"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Removal of barriers to learning at home and ensure accessibility to increasingly home-based application of learning via online programmes.</w:t>
            </w:r>
          </w:p>
          <w:p w14:paraId="56EBDAA2" w14:textId="77777777" w:rsidR="006D3275" w:rsidRDefault="00145BF2">
            <w:pPr>
              <w:pStyle w:val="TableRowCentered"/>
              <w:jc w:val="left"/>
              <w:rPr>
                <w:rFonts w:asciiTheme="minorHAnsi" w:hAnsiTheme="minorHAnsi" w:cstheme="minorHAnsi"/>
                <w:color w:val="00B050"/>
                <w:sz w:val="22"/>
                <w:szCs w:val="22"/>
              </w:rPr>
            </w:pPr>
            <w:hyperlink r:id="rId7" w:history="1">
              <w:r w:rsidR="00105B07">
                <w:rPr>
                  <w:rStyle w:val="Hyperlink"/>
                  <w:rFonts w:asciiTheme="minorHAnsi" w:hAnsiTheme="minorHAnsi" w:cstheme="minorHAnsi"/>
                  <w:sz w:val="22"/>
                  <w:szCs w:val="22"/>
                </w:rPr>
                <w:t>The Education Development Trust research (May 2020) highlights the impact of digital access or lack of it, on principles of inclusion.</w:t>
              </w:r>
            </w:hyperlink>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F5AC9" w14:textId="77777777" w:rsidR="006D3275" w:rsidRDefault="00105B07">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1</w:t>
            </w:r>
          </w:p>
        </w:tc>
      </w:tr>
      <w:tr w:rsidR="008B03A3" w14:paraId="0F829F33"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1508C" w14:textId="17CEEFC0" w:rsidR="008B03A3" w:rsidRPr="008B03A3" w:rsidRDefault="008B03A3">
            <w:pPr>
              <w:pStyle w:val="TableRow"/>
              <w:rPr>
                <w:rFonts w:asciiTheme="minorHAnsi" w:hAnsiTheme="minorHAnsi" w:cstheme="minorHAnsi"/>
                <w:sz w:val="22"/>
                <w:szCs w:val="22"/>
              </w:rPr>
            </w:pPr>
            <w:r>
              <w:rPr>
                <w:rFonts w:asciiTheme="minorHAnsi" w:hAnsiTheme="minorHAnsi" w:cstheme="minorHAnsi"/>
                <w:b/>
                <w:bCs/>
                <w:sz w:val="22"/>
                <w:szCs w:val="22"/>
              </w:rPr>
              <w:t xml:space="preserve">2.7 </w:t>
            </w:r>
            <w:r>
              <w:rPr>
                <w:rFonts w:asciiTheme="minorHAnsi" w:hAnsiTheme="minorHAnsi" w:cstheme="minorHAnsi"/>
                <w:sz w:val="22"/>
                <w:szCs w:val="22"/>
              </w:rPr>
              <w:t>To provide an onsite APS for identified students at Key Stage 3, in need of early intervention and at Key Stage 4, for those at risk of being NEET.</w:t>
            </w:r>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9E8A9" w14:textId="77777777" w:rsidR="00105B07" w:rsidRDefault="00105B07" w:rsidP="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EEF Teaching &amp; Learning Toolkit suggests that targeted mentoring and individual support can assist students with specific needs, to overcome personal barriers to school engagement.  </w:t>
            </w:r>
          </w:p>
          <w:p w14:paraId="4BFAD9AE" w14:textId="77777777" w:rsidR="00105B07" w:rsidRDefault="00105B07">
            <w:pPr>
              <w:pStyle w:val="TableRowCentered"/>
              <w:jc w:val="left"/>
              <w:rPr>
                <w:rFonts w:asciiTheme="minorHAnsi" w:hAnsiTheme="minorHAnsi" w:cstheme="minorHAnsi"/>
                <w:color w:val="000000" w:themeColor="text1"/>
                <w:sz w:val="22"/>
                <w:szCs w:val="22"/>
              </w:rPr>
            </w:pPr>
          </w:p>
          <w:p w14:paraId="150BE00E" w14:textId="717DB828" w:rsidR="008B03A3" w:rsidRDefault="008B03A3" w:rsidP="00105B07">
            <w:pPr>
              <w:pStyle w:val="TableRowCentered"/>
              <w:ind w:left="0"/>
              <w:jc w:val="left"/>
              <w:rPr>
                <w:rFonts w:asciiTheme="minorHAnsi" w:hAnsiTheme="minorHAnsi" w:cstheme="minorHAnsi"/>
                <w:color w:val="auto"/>
                <w:sz w:val="22"/>
                <w:szCs w:val="22"/>
              </w:rPr>
            </w:pPr>
            <w:r>
              <w:rPr>
                <w:rFonts w:asciiTheme="minorHAnsi" w:hAnsiTheme="minorHAnsi" w:cstheme="minorHAnsi"/>
                <w:color w:val="000000" w:themeColor="text1"/>
                <w:sz w:val="22"/>
                <w:szCs w:val="22"/>
              </w:rPr>
              <w:t>NEET students will not access post 16 education and training and are at a higher risk of unemployment</w:t>
            </w: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24F84" w14:textId="77777777" w:rsidR="008B03A3" w:rsidRDefault="00105B07">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3</w:t>
            </w:r>
          </w:p>
          <w:p w14:paraId="6C5C3CD1" w14:textId="77777777" w:rsidR="00105B07" w:rsidRDefault="00105B07">
            <w:pPr>
              <w:pStyle w:val="TableRowCentered"/>
              <w:ind w:left="0"/>
              <w:jc w:val="left"/>
              <w:rPr>
                <w:rFonts w:asciiTheme="minorHAnsi" w:hAnsiTheme="minorHAnsi" w:cstheme="minorHAnsi"/>
                <w:sz w:val="22"/>
                <w:szCs w:val="22"/>
              </w:rPr>
            </w:pPr>
          </w:p>
          <w:p w14:paraId="0C864ADC" w14:textId="77777777" w:rsidR="00105B07" w:rsidRDefault="00105B07">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4</w:t>
            </w:r>
          </w:p>
          <w:p w14:paraId="70166B85" w14:textId="77777777" w:rsidR="00105B07" w:rsidRDefault="00105B07">
            <w:pPr>
              <w:pStyle w:val="TableRowCentered"/>
              <w:ind w:left="0"/>
              <w:jc w:val="left"/>
              <w:rPr>
                <w:rFonts w:asciiTheme="minorHAnsi" w:hAnsiTheme="minorHAnsi" w:cstheme="minorHAnsi"/>
                <w:sz w:val="22"/>
                <w:szCs w:val="22"/>
              </w:rPr>
            </w:pPr>
          </w:p>
          <w:p w14:paraId="039F40B9" w14:textId="1F65DCF3" w:rsidR="00105B07" w:rsidRDefault="00105B07">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6</w:t>
            </w:r>
          </w:p>
        </w:tc>
      </w:tr>
      <w:tr w:rsidR="005C438B" w14:paraId="5371ABA3" w14:textId="77777777">
        <w:tc>
          <w:tcPr>
            <w:tcW w:w="3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CD7E4" w14:textId="668F69EC" w:rsidR="005C438B" w:rsidRDefault="005C438B">
            <w:pPr>
              <w:pStyle w:val="TableRow"/>
              <w:rPr>
                <w:rFonts w:asciiTheme="minorHAnsi" w:hAnsiTheme="minorHAnsi" w:cstheme="minorHAnsi"/>
                <w:b/>
                <w:bCs/>
                <w:sz w:val="22"/>
                <w:szCs w:val="22"/>
              </w:rPr>
            </w:pPr>
            <w:r>
              <w:rPr>
                <w:rFonts w:asciiTheme="minorHAnsi" w:hAnsiTheme="minorHAnsi" w:cstheme="minorHAnsi"/>
                <w:b/>
                <w:bCs/>
                <w:sz w:val="22"/>
                <w:szCs w:val="22"/>
              </w:rPr>
              <w:t xml:space="preserve">2.8 </w:t>
            </w:r>
            <w:r w:rsidR="004F1DB4" w:rsidRPr="004F1DB4">
              <w:rPr>
                <w:rFonts w:asciiTheme="minorHAnsi" w:hAnsiTheme="minorHAnsi" w:cstheme="minorHAnsi"/>
                <w:bCs/>
                <w:sz w:val="22"/>
                <w:szCs w:val="22"/>
              </w:rPr>
              <w:t xml:space="preserve">To provide </w:t>
            </w:r>
            <w:r w:rsidR="004F1DB4">
              <w:rPr>
                <w:rFonts w:asciiTheme="minorHAnsi" w:hAnsiTheme="minorHAnsi" w:cstheme="minorHAnsi"/>
                <w:bCs/>
                <w:sz w:val="22"/>
                <w:szCs w:val="22"/>
              </w:rPr>
              <w:t xml:space="preserve">targeted </w:t>
            </w:r>
            <w:r w:rsidR="004F1DB4" w:rsidRPr="004F1DB4">
              <w:rPr>
                <w:rFonts w:asciiTheme="minorHAnsi" w:hAnsiTheme="minorHAnsi" w:cstheme="minorHAnsi"/>
                <w:bCs/>
                <w:sz w:val="22"/>
                <w:szCs w:val="22"/>
              </w:rPr>
              <w:t>support for EAL students</w:t>
            </w:r>
            <w:r w:rsidR="004F1DB4">
              <w:rPr>
                <w:rFonts w:asciiTheme="minorHAnsi" w:hAnsiTheme="minorHAnsi" w:cstheme="minorHAnsi"/>
                <w:b/>
                <w:bCs/>
                <w:sz w:val="22"/>
                <w:szCs w:val="22"/>
              </w:rPr>
              <w:t xml:space="preserve"> </w:t>
            </w:r>
            <w:r w:rsidR="004F1DB4" w:rsidRPr="004F1DB4">
              <w:rPr>
                <w:rFonts w:asciiTheme="minorHAnsi" w:hAnsiTheme="minorHAnsi" w:cstheme="minorHAnsi"/>
                <w:bCs/>
                <w:sz w:val="22"/>
                <w:szCs w:val="22"/>
              </w:rPr>
              <w:t xml:space="preserve">and </w:t>
            </w:r>
            <w:r w:rsidR="004F1DB4">
              <w:rPr>
                <w:rFonts w:asciiTheme="minorHAnsi" w:hAnsiTheme="minorHAnsi" w:cstheme="minorHAnsi"/>
                <w:bCs/>
                <w:sz w:val="22"/>
                <w:szCs w:val="22"/>
              </w:rPr>
              <w:t xml:space="preserve">bespoke language teachers to GCSE and A </w:t>
            </w:r>
            <w:proofErr w:type="gramStart"/>
            <w:r w:rsidR="004F1DB4">
              <w:rPr>
                <w:rFonts w:asciiTheme="minorHAnsi" w:hAnsiTheme="minorHAnsi" w:cstheme="minorHAnsi"/>
                <w:bCs/>
                <w:sz w:val="22"/>
                <w:szCs w:val="22"/>
              </w:rPr>
              <w:t>Level exams</w:t>
            </w:r>
            <w:proofErr w:type="gramEnd"/>
          </w:p>
        </w:tc>
        <w:tc>
          <w:tcPr>
            <w:tcW w:w="6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2401" w14:textId="77777777" w:rsidR="005C438B" w:rsidRDefault="005C438B" w:rsidP="005C438B">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EEF Teaching &amp; Learning Toolkit suggests that targeted mentoring and individual support can assist students with specific needs, to overcome personal barriers to school engagement.  </w:t>
            </w:r>
          </w:p>
          <w:p w14:paraId="2132E9DF" w14:textId="77777777" w:rsidR="005C438B" w:rsidRDefault="005C438B" w:rsidP="00105B07">
            <w:pPr>
              <w:pStyle w:val="TableRowCentered"/>
              <w:jc w:val="left"/>
              <w:rPr>
                <w:rFonts w:asciiTheme="minorHAnsi" w:hAnsiTheme="minorHAnsi" w:cstheme="minorHAnsi"/>
                <w:color w:val="auto"/>
                <w:sz w:val="22"/>
                <w:szCs w:val="22"/>
              </w:rPr>
            </w:pPr>
          </w:p>
        </w:tc>
        <w:tc>
          <w:tcPr>
            <w:tcW w:w="1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2D1A6" w14:textId="062EF8EF" w:rsidR="005C438B" w:rsidRDefault="005C438B">
            <w:pPr>
              <w:pStyle w:val="TableRowCentered"/>
              <w:ind w:left="0"/>
              <w:jc w:val="left"/>
              <w:rPr>
                <w:rFonts w:asciiTheme="minorHAnsi" w:hAnsiTheme="minorHAnsi" w:cstheme="minorHAnsi"/>
                <w:sz w:val="22"/>
                <w:szCs w:val="22"/>
              </w:rPr>
            </w:pPr>
            <w:r>
              <w:rPr>
                <w:rFonts w:asciiTheme="minorHAnsi" w:hAnsiTheme="minorHAnsi" w:cstheme="minorHAnsi"/>
                <w:sz w:val="22"/>
                <w:szCs w:val="22"/>
              </w:rPr>
              <w:t>3</w:t>
            </w:r>
          </w:p>
        </w:tc>
      </w:tr>
    </w:tbl>
    <w:p w14:paraId="10CCD30B" w14:textId="77777777" w:rsidR="006D3275" w:rsidRDefault="006D3275">
      <w:pPr>
        <w:rPr>
          <w:b/>
          <w:color w:val="104F75"/>
          <w:sz w:val="20"/>
          <w:szCs w:val="20"/>
        </w:rPr>
      </w:pPr>
    </w:p>
    <w:p w14:paraId="1CC8F6F6" w14:textId="77777777" w:rsidR="006D3275" w:rsidRDefault="006D3275">
      <w:pPr>
        <w:rPr>
          <w:b/>
          <w:color w:val="104F75"/>
          <w:sz w:val="20"/>
          <w:szCs w:val="20"/>
        </w:rPr>
      </w:pPr>
    </w:p>
    <w:p w14:paraId="64B6EF8E" w14:textId="77777777" w:rsidR="006D3275" w:rsidRDefault="00105B07">
      <w:pPr>
        <w:rPr>
          <w:b/>
          <w:color w:val="104F75"/>
          <w:sz w:val="20"/>
          <w:szCs w:val="20"/>
        </w:rPr>
      </w:pPr>
      <w:r>
        <w:rPr>
          <w:b/>
          <w:color w:val="104F75"/>
          <w:sz w:val="20"/>
          <w:szCs w:val="20"/>
        </w:rPr>
        <w:t>Wider strategies (for example, related to attendance, behaviour, wellbeing)</w:t>
      </w:r>
    </w:p>
    <w:p w14:paraId="5910F4E9" w14:textId="10A2E43B" w:rsidR="006D3275" w:rsidRPr="008B03A3" w:rsidRDefault="00105B07">
      <w:pPr>
        <w:suppressAutoHyphens w:val="0"/>
        <w:spacing w:after="0" w:line="240" w:lineRule="auto"/>
        <w:rPr>
          <w:rFonts w:ascii="Calibri" w:hAnsi="Calibri" w:cs="Calibri"/>
          <w:color w:val="FFFFFF" w:themeColor="background1"/>
          <w:sz w:val="22"/>
          <w:szCs w:val="22"/>
        </w:rPr>
      </w:pPr>
      <w:r w:rsidRPr="00842E3A">
        <w:rPr>
          <w:color w:val="000000" w:themeColor="text1"/>
          <w:sz w:val="20"/>
          <w:szCs w:val="20"/>
        </w:rPr>
        <w:t>Budgete</w:t>
      </w:r>
      <w:r w:rsidRPr="00842E3A">
        <w:rPr>
          <w:rFonts w:asciiTheme="minorHAnsi" w:hAnsiTheme="minorHAnsi" w:cstheme="minorHAnsi"/>
          <w:color w:val="000000" w:themeColor="text1"/>
          <w:sz w:val="22"/>
          <w:szCs w:val="22"/>
        </w:rPr>
        <w:t xml:space="preserve">d </w:t>
      </w:r>
      <w:proofErr w:type="gramStart"/>
      <w:r w:rsidRPr="00842E3A">
        <w:rPr>
          <w:rFonts w:asciiTheme="minorHAnsi" w:hAnsiTheme="minorHAnsi" w:cstheme="minorHAnsi"/>
          <w:color w:val="000000" w:themeColor="text1"/>
          <w:sz w:val="22"/>
          <w:szCs w:val="22"/>
        </w:rPr>
        <w:t>cost:</w:t>
      </w:r>
      <w:r w:rsidR="00F233AC">
        <w:rPr>
          <w:rFonts w:asciiTheme="minorHAnsi" w:hAnsiTheme="minorHAnsi" w:cstheme="minorHAnsi"/>
          <w:color w:val="000000" w:themeColor="text1"/>
          <w:sz w:val="22"/>
          <w:szCs w:val="22"/>
        </w:rPr>
        <w:t>£</w:t>
      </w:r>
      <w:proofErr w:type="gramEnd"/>
      <w:r w:rsidR="00F233AC">
        <w:rPr>
          <w:rFonts w:asciiTheme="minorHAnsi" w:hAnsiTheme="minorHAnsi" w:cstheme="minorHAnsi"/>
          <w:color w:val="000000" w:themeColor="text1"/>
          <w:sz w:val="22"/>
          <w:szCs w:val="22"/>
        </w:rPr>
        <w:t>1</w:t>
      </w:r>
      <w:r w:rsidR="00A1640C">
        <w:rPr>
          <w:rFonts w:asciiTheme="minorHAnsi" w:hAnsiTheme="minorHAnsi" w:cstheme="minorHAnsi"/>
          <w:color w:val="000000" w:themeColor="text1"/>
          <w:sz w:val="22"/>
          <w:szCs w:val="22"/>
        </w:rPr>
        <w:t>5,6019</w:t>
      </w:r>
    </w:p>
    <w:p w14:paraId="7A907A63" w14:textId="77777777" w:rsidR="006D3275" w:rsidRDefault="006D3275">
      <w:pPr>
        <w:suppressAutoHyphens w:val="0"/>
        <w:spacing w:after="0" w:line="240" w:lineRule="auto"/>
        <w:rPr>
          <w:rFonts w:ascii="Calibri" w:hAnsi="Calibri" w:cs="Calibri"/>
          <w:color w:val="000000"/>
          <w:sz w:val="22"/>
          <w:szCs w:val="22"/>
        </w:rPr>
      </w:pPr>
    </w:p>
    <w:tbl>
      <w:tblPr>
        <w:tblW w:w="5678" w:type="pct"/>
        <w:tblInd w:w="-572" w:type="dxa"/>
        <w:tblCellMar>
          <w:left w:w="10" w:type="dxa"/>
          <w:right w:w="10" w:type="dxa"/>
        </w:tblCellMar>
        <w:tblLook w:val="04A0" w:firstRow="1" w:lastRow="0" w:firstColumn="1" w:lastColumn="0" w:noHBand="0" w:noVBand="1"/>
      </w:tblPr>
      <w:tblGrid>
        <w:gridCol w:w="3119"/>
        <w:gridCol w:w="6237"/>
        <w:gridCol w:w="1416"/>
      </w:tblGrid>
      <w:tr w:rsidR="006D3275" w14:paraId="5632FB04" w14:textId="77777777">
        <w:tc>
          <w:tcPr>
            <w:tcW w:w="311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3B42FD0" w14:textId="77777777" w:rsidR="006D3275" w:rsidRDefault="00105B07">
            <w:pPr>
              <w:pStyle w:val="TableHeader"/>
              <w:jc w:val="left"/>
              <w:rPr>
                <w:rFonts w:asciiTheme="minorHAnsi" w:hAnsiTheme="minorHAnsi" w:cstheme="minorHAnsi"/>
                <w:sz w:val="22"/>
                <w:szCs w:val="22"/>
              </w:rPr>
            </w:pPr>
            <w:r>
              <w:rPr>
                <w:rFonts w:asciiTheme="minorHAnsi" w:hAnsiTheme="minorHAnsi" w:cstheme="minorHAnsi"/>
                <w:sz w:val="22"/>
                <w:szCs w:val="22"/>
              </w:rPr>
              <w:t>Activity</w:t>
            </w:r>
          </w:p>
        </w:tc>
        <w:tc>
          <w:tcPr>
            <w:tcW w:w="623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29AFE2E" w14:textId="77777777" w:rsidR="006D3275" w:rsidRDefault="00105B07">
            <w:pPr>
              <w:pStyle w:val="TableHeader"/>
              <w:jc w:val="left"/>
              <w:rPr>
                <w:rFonts w:asciiTheme="minorHAnsi" w:hAnsiTheme="minorHAnsi" w:cstheme="minorHAnsi"/>
                <w:sz w:val="22"/>
                <w:szCs w:val="22"/>
              </w:rPr>
            </w:pPr>
            <w:r>
              <w:rPr>
                <w:rFonts w:asciiTheme="minorHAnsi" w:hAnsiTheme="minorHAnsi" w:cstheme="minorHAnsi"/>
                <w:sz w:val="22"/>
                <w:szCs w:val="22"/>
              </w:rPr>
              <w:t>Evidence that supports this approach</w:t>
            </w:r>
          </w:p>
        </w:tc>
        <w:tc>
          <w:tcPr>
            <w:tcW w:w="14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F15E65B" w14:textId="77777777" w:rsidR="006D3275" w:rsidRDefault="00105B07">
            <w:pPr>
              <w:pStyle w:val="TableHeader"/>
              <w:jc w:val="left"/>
              <w:rPr>
                <w:rFonts w:asciiTheme="minorHAnsi" w:hAnsiTheme="minorHAnsi" w:cstheme="minorHAnsi"/>
                <w:sz w:val="22"/>
                <w:szCs w:val="22"/>
              </w:rPr>
            </w:pPr>
            <w:r>
              <w:rPr>
                <w:rFonts w:asciiTheme="minorHAnsi" w:hAnsiTheme="minorHAnsi" w:cstheme="minorHAnsi"/>
                <w:sz w:val="22"/>
                <w:szCs w:val="22"/>
              </w:rPr>
              <w:t>Challenge number(s) addressed</w:t>
            </w:r>
          </w:p>
        </w:tc>
      </w:tr>
      <w:tr w:rsidR="006D3275" w14:paraId="669B143D"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9DA5" w14:textId="07A4F71B"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3.1</w:t>
            </w:r>
            <w:r>
              <w:rPr>
                <w:rFonts w:asciiTheme="minorHAnsi" w:hAnsiTheme="minorHAnsi" w:cstheme="minorHAnsi"/>
                <w:sz w:val="22"/>
                <w:szCs w:val="22"/>
              </w:rPr>
              <w:t xml:space="preserve"> To </w:t>
            </w:r>
            <w:r w:rsidR="003F64F4">
              <w:rPr>
                <w:rFonts w:asciiTheme="minorHAnsi" w:hAnsiTheme="minorHAnsi" w:cstheme="minorHAnsi"/>
                <w:sz w:val="22"/>
                <w:szCs w:val="22"/>
              </w:rPr>
              <w:t>continue to employ</w:t>
            </w:r>
            <w:r>
              <w:rPr>
                <w:rFonts w:asciiTheme="minorHAnsi" w:hAnsiTheme="minorHAnsi" w:cstheme="minorHAnsi"/>
                <w:sz w:val="22"/>
                <w:szCs w:val="22"/>
              </w:rPr>
              <w:t xml:space="preserve"> a dedicated Pupil Premium Lead responsible for the academic progress, &amp; the social and personal development of pupil premium students. </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0B0F1"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A dedicated lead for our disadvantaged students will be key to removing barriers to learning, will enable us to support through our menu of support, in order to mitigate potential barriers to learning.</w:t>
            </w:r>
          </w:p>
          <w:p w14:paraId="2C80B38A" w14:textId="77777777" w:rsidR="006D3275" w:rsidRDefault="006D3275">
            <w:pPr>
              <w:pStyle w:val="TableRowCentered"/>
              <w:jc w:val="left"/>
              <w:rPr>
                <w:rFonts w:asciiTheme="minorHAnsi" w:hAnsiTheme="minorHAnsi" w:cstheme="minorHAnsi"/>
                <w:color w:val="auto"/>
                <w:sz w:val="22"/>
                <w:szCs w:val="22"/>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927E"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All</w:t>
            </w:r>
          </w:p>
          <w:p w14:paraId="7324D20C" w14:textId="77777777" w:rsidR="006D3275" w:rsidRDefault="006D3275">
            <w:pPr>
              <w:pStyle w:val="TableRowCentered"/>
              <w:jc w:val="left"/>
              <w:rPr>
                <w:rFonts w:asciiTheme="minorHAnsi" w:hAnsiTheme="minorHAnsi" w:cstheme="minorHAnsi"/>
                <w:sz w:val="22"/>
                <w:szCs w:val="22"/>
              </w:rPr>
            </w:pPr>
          </w:p>
        </w:tc>
      </w:tr>
      <w:tr w:rsidR="006D3275" w14:paraId="3EF274B6"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447FE" w14:textId="77777777" w:rsidR="006D3275" w:rsidRDefault="00105B07">
            <w:pPr>
              <w:pStyle w:val="TableRow"/>
              <w:rPr>
                <w:rFonts w:asciiTheme="minorHAnsi" w:hAnsiTheme="minorHAnsi" w:cstheme="minorHAnsi"/>
                <w:iCs/>
                <w:sz w:val="22"/>
                <w:szCs w:val="22"/>
              </w:rPr>
            </w:pPr>
            <w:r>
              <w:rPr>
                <w:rFonts w:asciiTheme="minorHAnsi" w:hAnsiTheme="minorHAnsi" w:cstheme="minorHAnsi"/>
                <w:b/>
                <w:bCs/>
                <w:iCs/>
                <w:sz w:val="22"/>
                <w:szCs w:val="22"/>
              </w:rPr>
              <w:t>3.2</w:t>
            </w:r>
            <w:r>
              <w:rPr>
                <w:rFonts w:asciiTheme="minorHAnsi" w:hAnsiTheme="minorHAnsi" w:cstheme="minorHAnsi"/>
                <w:iCs/>
                <w:sz w:val="22"/>
                <w:szCs w:val="22"/>
              </w:rPr>
              <w:t xml:space="preserve"> To continue to employ a Student &amp; Family Welfare officer – offering live support for vulnerable children</w:t>
            </w:r>
          </w:p>
          <w:p w14:paraId="302AC154" w14:textId="77777777" w:rsidR="006D3275" w:rsidRDefault="006D3275">
            <w:pPr>
              <w:pStyle w:val="TableRow"/>
              <w:rPr>
                <w:rFonts w:asciiTheme="minorHAnsi" w:hAnsiTheme="minorHAnsi" w:cstheme="minorHAnsi"/>
                <w:color w:val="000000" w:themeColor="text1"/>
                <w:sz w:val="22"/>
                <w:szCs w:val="22"/>
              </w:rPr>
            </w:pPr>
          </w:p>
          <w:p w14:paraId="73477620" w14:textId="77777777" w:rsidR="006D3275" w:rsidRDefault="006D3275">
            <w:pPr>
              <w:pStyle w:val="TableRow"/>
              <w:rPr>
                <w:rFonts w:asciiTheme="minorHAnsi" w:hAnsiTheme="minorHAnsi" w:cstheme="minorHAnsi"/>
                <w:color w:val="FF0000"/>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95D3"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EEF Teaching &amp; Learning Toolkit suggests that targeted mentoring and individual support can assist students with specific needs, to overcome personal barriers to school engagement.  </w:t>
            </w:r>
          </w:p>
          <w:p w14:paraId="60FF7E37" w14:textId="77777777" w:rsidR="006D3275" w:rsidRDefault="006D3275">
            <w:pPr>
              <w:pStyle w:val="TableRowCentered"/>
              <w:jc w:val="left"/>
              <w:rPr>
                <w:rFonts w:asciiTheme="minorHAnsi" w:hAnsiTheme="minorHAnsi" w:cstheme="minorHAnsi"/>
                <w:color w:val="auto"/>
                <w:sz w:val="22"/>
                <w:szCs w:val="22"/>
              </w:rPr>
            </w:pPr>
          </w:p>
          <w:p w14:paraId="4499F785"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Progress potential: 2 months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9869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256DA142" w14:textId="77777777" w:rsidR="006D3275" w:rsidRDefault="006D3275">
            <w:pPr>
              <w:pStyle w:val="TableRowCentered"/>
              <w:jc w:val="left"/>
              <w:rPr>
                <w:rFonts w:asciiTheme="minorHAnsi" w:hAnsiTheme="minorHAnsi" w:cstheme="minorHAnsi"/>
                <w:sz w:val="22"/>
                <w:szCs w:val="22"/>
              </w:rPr>
            </w:pPr>
          </w:p>
          <w:p w14:paraId="79D0163F"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4</w:t>
            </w:r>
          </w:p>
        </w:tc>
      </w:tr>
      <w:tr w:rsidR="006D3275" w14:paraId="7D34C308"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2D7A" w14:textId="77777777" w:rsidR="006D3275" w:rsidRDefault="00105B07">
            <w:pPr>
              <w:pStyle w:val="TableRow"/>
              <w:ind w:left="0"/>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b/>
                <w:bCs/>
                <w:sz w:val="22"/>
                <w:szCs w:val="22"/>
              </w:rPr>
              <w:t>3.3</w:t>
            </w:r>
            <w:r>
              <w:rPr>
                <w:rFonts w:asciiTheme="minorHAnsi" w:hAnsiTheme="minorHAnsi" w:cstheme="minorHAnsi"/>
                <w:sz w:val="22"/>
                <w:szCs w:val="22"/>
              </w:rPr>
              <w:t xml:space="preserve"> To continue to provide external, independent Careers advice (3.3.1) and on- site Careers support and work experiences provision (3.3.2)</w:t>
            </w:r>
          </w:p>
          <w:p w14:paraId="62018679" w14:textId="77777777" w:rsidR="006D3275" w:rsidRDefault="006D3275">
            <w:pPr>
              <w:pStyle w:val="TableRow"/>
              <w:ind w:left="0"/>
              <w:rPr>
                <w:rFonts w:asciiTheme="minorHAnsi" w:hAnsiTheme="minorHAnsi" w:cstheme="minorHAnsi"/>
                <w:sz w:val="22"/>
                <w:szCs w:val="22"/>
              </w:rPr>
            </w:pPr>
          </w:p>
          <w:p w14:paraId="6F90B22F" w14:textId="77777777" w:rsidR="006D3275" w:rsidRDefault="006D3275">
            <w:pPr>
              <w:pStyle w:val="TableRow"/>
              <w:rPr>
                <w:rFonts w:asciiTheme="minorHAnsi" w:hAnsiTheme="minorHAnsi" w:cstheme="minorHAnsi"/>
                <w:color w:val="FF0000"/>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0BA4D" w14:textId="77777777" w:rsidR="006D3275" w:rsidRDefault="00145BF2">
            <w:pPr>
              <w:pStyle w:val="TableRowCentered"/>
              <w:ind w:left="0"/>
              <w:jc w:val="left"/>
              <w:rPr>
                <w:rFonts w:asciiTheme="minorHAnsi" w:hAnsiTheme="minorHAnsi" w:cstheme="minorHAnsi"/>
                <w:color w:val="00B050"/>
                <w:sz w:val="22"/>
                <w:szCs w:val="22"/>
              </w:rPr>
            </w:pPr>
            <w:hyperlink r:id="rId8" w:history="1">
              <w:r w:rsidR="00105B07">
                <w:rPr>
                  <w:rStyle w:val="Hyperlink"/>
                  <w:rFonts w:asciiTheme="minorHAnsi" w:hAnsiTheme="minorHAnsi" w:cstheme="minorHAnsi"/>
                  <w:sz w:val="22"/>
                  <w:szCs w:val="22"/>
                </w:rPr>
                <w:t>EEF Research: Exploring the Impact of Careers Education on Improving Young People’s Outcomes</w:t>
              </w:r>
            </w:hyperlink>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7CDF4"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tc>
      </w:tr>
      <w:tr w:rsidR="006D3275" w14:paraId="797AB69C"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0F5A" w14:textId="75683472" w:rsidR="006D3275" w:rsidRDefault="00105B07">
            <w:pPr>
              <w:pStyle w:val="TableRow"/>
              <w:numPr>
                <w:ilvl w:val="1"/>
                <w:numId w:val="33"/>
              </w:numPr>
              <w:rPr>
                <w:rFonts w:asciiTheme="minorHAnsi" w:hAnsiTheme="minorHAnsi" w:cstheme="minorHAnsi"/>
                <w:sz w:val="22"/>
                <w:szCs w:val="22"/>
              </w:rPr>
            </w:pPr>
            <w:r>
              <w:rPr>
                <w:rFonts w:asciiTheme="minorHAnsi" w:hAnsiTheme="minorHAnsi" w:cstheme="minorHAnsi"/>
                <w:sz w:val="22"/>
                <w:szCs w:val="22"/>
              </w:rPr>
              <w:t xml:space="preserve">To continue to provide SEMH &amp; behavioural intervention support through a Behaviour Lead Officer (3.4.1) and a </w:t>
            </w:r>
            <w:r w:rsidR="005C438B">
              <w:rPr>
                <w:rFonts w:asciiTheme="minorHAnsi" w:hAnsiTheme="minorHAnsi" w:cstheme="minorHAnsi"/>
                <w:sz w:val="22"/>
                <w:szCs w:val="22"/>
              </w:rPr>
              <w:t>Well Being &amp; Mental Health and Hub support</w:t>
            </w:r>
            <w:r>
              <w:rPr>
                <w:rFonts w:asciiTheme="minorHAnsi" w:hAnsiTheme="minorHAnsi" w:cstheme="minorHAnsi"/>
                <w:sz w:val="22"/>
                <w:szCs w:val="22"/>
              </w:rPr>
              <w:t xml:space="preserve"> (3.4.2)</w:t>
            </w:r>
          </w:p>
          <w:p w14:paraId="4AF8DCDE" w14:textId="77777777" w:rsidR="006D3275" w:rsidRDefault="006D3275">
            <w:pPr>
              <w:pStyle w:val="TableRow"/>
              <w:ind w:left="0"/>
              <w:rPr>
                <w:rFonts w:asciiTheme="minorHAnsi" w:hAnsiTheme="minorHAnsi" w:cstheme="minorHAnsi"/>
                <w:color w:val="FF0000"/>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DFD26"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EEF Teaching &amp; Learning Toolkit suggests that targeted mentoring and individual support can assist students with specific needs, to overcome personal barriers to school engagement.  </w:t>
            </w:r>
          </w:p>
          <w:p w14:paraId="0D25861B" w14:textId="77777777" w:rsidR="006D3275" w:rsidRDefault="006D3275">
            <w:pPr>
              <w:pStyle w:val="TableRowCentered"/>
              <w:jc w:val="left"/>
              <w:rPr>
                <w:rFonts w:asciiTheme="minorHAnsi" w:hAnsiTheme="minorHAnsi" w:cstheme="minorHAnsi"/>
                <w:color w:val="auto"/>
                <w:sz w:val="22"/>
                <w:szCs w:val="22"/>
              </w:rPr>
            </w:pPr>
          </w:p>
          <w:p w14:paraId="7396717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Progress potential: 2 months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C53F2"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3B7D6A38"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4</w:t>
            </w:r>
          </w:p>
          <w:p w14:paraId="5560B132" w14:textId="77777777" w:rsidR="006D3275" w:rsidRDefault="006D3275">
            <w:pPr>
              <w:pStyle w:val="TableRowCentered"/>
              <w:jc w:val="left"/>
              <w:rPr>
                <w:rFonts w:asciiTheme="minorHAnsi" w:hAnsiTheme="minorHAnsi" w:cstheme="minorHAnsi"/>
                <w:sz w:val="22"/>
                <w:szCs w:val="22"/>
              </w:rPr>
            </w:pPr>
          </w:p>
        </w:tc>
      </w:tr>
      <w:tr w:rsidR="006D3275" w14:paraId="3A5C8137"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C6AA4" w14:textId="77777777"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3.5</w:t>
            </w:r>
            <w:r>
              <w:rPr>
                <w:rFonts w:asciiTheme="minorHAnsi" w:hAnsiTheme="minorHAnsi" w:cstheme="minorHAnsi"/>
                <w:sz w:val="22"/>
                <w:szCs w:val="22"/>
              </w:rPr>
              <w:t xml:space="preserve"> To provide a Uniform grant (3.5.1) and second-hand uniform stock (3.5.2)</w:t>
            </w:r>
          </w:p>
          <w:p w14:paraId="1E540C0B" w14:textId="77777777" w:rsidR="006D3275" w:rsidRDefault="006D3275">
            <w:pPr>
              <w:pStyle w:val="TableRow"/>
              <w:rPr>
                <w:rFonts w:asciiTheme="minorHAnsi" w:hAnsiTheme="minorHAnsi" w:cstheme="minorHAnsi"/>
                <w:sz w:val="22"/>
                <w:szCs w:val="22"/>
              </w:rPr>
            </w:pPr>
          </w:p>
          <w:p w14:paraId="195EBC38" w14:textId="77777777" w:rsidR="006D3275" w:rsidRDefault="006D3275">
            <w:pPr>
              <w:pStyle w:val="TableRow"/>
              <w:rPr>
                <w:rFonts w:asciiTheme="minorHAnsi" w:hAnsiTheme="minorHAnsi" w:cstheme="minorHAnsi"/>
                <w:color w:val="FF0000"/>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768FD"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It will remove barriers to learning through being ready to learn in all lessons.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3980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r w:rsidR="006D3275" w14:paraId="2E9C1570"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5DCB2" w14:textId="073561AE" w:rsidR="006D3275" w:rsidRDefault="00C12DFA" w:rsidP="00C12DFA">
            <w:pPr>
              <w:pStyle w:val="TableRow"/>
              <w:rPr>
                <w:rFonts w:asciiTheme="minorHAnsi" w:hAnsiTheme="minorHAnsi" w:cstheme="minorHAnsi"/>
                <w:sz w:val="22"/>
                <w:szCs w:val="22"/>
              </w:rPr>
            </w:pPr>
            <w:r>
              <w:rPr>
                <w:rFonts w:asciiTheme="minorHAnsi" w:hAnsiTheme="minorHAnsi" w:cstheme="minorHAnsi"/>
                <w:sz w:val="22"/>
                <w:szCs w:val="22"/>
              </w:rPr>
              <w:t>3.6</w:t>
            </w:r>
            <w:r w:rsidR="00105B07">
              <w:rPr>
                <w:rFonts w:asciiTheme="minorHAnsi" w:hAnsiTheme="minorHAnsi" w:cstheme="minorHAnsi"/>
                <w:sz w:val="22"/>
                <w:szCs w:val="22"/>
              </w:rPr>
              <w:t>To have an on-site EWO to close the gap with PP to non-PP attendance</w:t>
            </w:r>
            <w:r w:rsidR="00EE2402">
              <w:rPr>
                <w:rFonts w:asciiTheme="minorHAnsi" w:hAnsiTheme="minorHAnsi" w:cstheme="minorHAnsi"/>
                <w:sz w:val="22"/>
                <w:szCs w:val="22"/>
              </w:rPr>
              <w:t xml:space="preserve"> (3.6.1) and subsidise bus transport for identified PP students (3.6.2)</w:t>
            </w:r>
            <w:r>
              <w:rPr>
                <w:rFonts w:asciiTheme="minorHAnsi" w:hAnsiTheme="minorHAnsi" w:cstheme="minorHAnsi"/>
                <w:sz w:val="22"/>
                <w:szCs w:val="22"/>
              </w:rPr>
              <w:t xml:space="preserve">. </w:t>
            </w:r>
          </w:p>
          <w:p w14:paraId="25F117B2" w14:textId="4AF4E951" w:rsidR="00DE6ABC" w:rsidRDefault="00270FD5" w:rsidP="00C12DFA">
            <w:pPr>
              <w:pStyle w:val="TableRow"/>
              <w:rPr>
                <w:rFonts w:asciiTheme="minorHAnsi" w:hAnsiTheme="minorHAnsi" w:cstheme="minorHAnsi"/>
                <w:sz w:val="22"/>
                <w:szCs w:val="22"/>
              </w:rPr>
            </w:pPr>
            <w:r>
              <w:rPr>
                <w:rFonts w:asciiTheme="minorHAnsi" w:hAnsiTheme="minorHAnsi" w:cstheme="minorHAnsi"/>
                <w:sz w:val="22"/>
                <w:szCs w:val="22"/>
              </w:rPr>
              <w:t>To have an on-site Attendance support office (3.6.3)</w:t>
            </w:r>
          </w:p>
          <w:p w14:paraId="5201C7E4" w14:textId="77777777" w:rsidR="00C12DFA" w:rsidRDefault="00C12DFA" w:rsidP="00C12DFA">
            <w:pPr>
              <w:pStyle w:val="TableRow"/>
              <w:ind w:left="417"/>
              <w:rPr>
                <w:rFonts w:asciiTheme="minorHAnsi" w:hAnsiTheme="minorHAnsi" w:cstheme="minorHAnsi"/>
                <w:sz w:val="22"/>
                <w:szCs w:val="22"/>
              </w:rPr>
            </w:pPr>
          </w:p>
          <w:p w14:paraId="017415C2" w14:textId="5B9210D7" w:rsidR="00EE2402" w:rsidRDefault="00EE2402" w:rsidP="00EE2402">
            <w:pPr>
              <w:pStyle w:val="TableRow"/>
              <w:ind w:left="0"/>
              <w:rPr>
                <w:rFonts w:asciiTheme="minorHAnsi" w:hAnsiTheme="minorHAnsi" w:cstheme="minorHAnsi"/>
                <w:sz w:val="22"/>
                <w:szCs w:val="22"/>
              </w:rPr>
            </w:pPr>
          </w:p>
          <w:p w14:paraId="79D0C998" w14:textId="77777777" w:rsidR="00EE2402" w:rsidRDefault="00EE2402" w:rsidP="00EE2402">
            <w:pPr>
              <w:pStyle w:val="TableRow"/>
              <w:rPr>
                <w:rFonts w:asciiTheme="minorHAnsi" w:hAnsiTheme="minorHAnsi" w:cstheme="minorHAnsi"/>
                <w:sz w:val="22"/>
                <w:szCs w:val="22"/>
              </w:rPr>
            </w:pPr>
          </w:p>
          <w:p w14:paraId="6C80579A" w14:textId="77777777" w:rsidR="006D3275" w:rsidRDefault="006D3275">
            <w:pPr>
              <w:pStyle w:val="TableRow"/>
              <w:rPr>
                <w:rFonts w:asciiTheme="minorHAnsi" w:hAnsiTheme="minorHAnsi" w:cstheme="minorHAnsi"/>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D9EF7"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Increased attendance leads to improved outcomes for all groups of learners.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8327D"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1A75A733"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r w:rsidR="006D3275" w14:paraId="74523230"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F2F39" w14:textId="77777777"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3.7</w:t>
            </w:r>
            <w:r>
              <w:rPr>
                <w:rFonts w:asciiTheme="minorHAnsi" w:hAnsiTheme="minorHAnsi" w:cstheme="minorHAnsi"/>
                <w:sz w:val="22"/>
                <w:szCs w:val="22"/>
              </w:rPr>
              <w:t xml:space="preserve"> To have on-site External counselling (3.7.1) and access to on-site an Educational Psychologist (3.7.2) for PP students </w:t>
            </w:r>
          </w:p>
          <w:p w14:paraId="56F366C3" w14:textId="77777777" w:rsidR="006D3275" w:rsidRDefault="006D3275">
            <w:pPr>
              <w:pStyle w:val="TableRow"/>
              <w:rPr>
                <w:rFonts w:asciiTheme="minorHAnsi" w:hAnsiTheme="minorHAnsi" w:cstheme="minorHAnsi"/>
                <w:color w:val="FF0000"/>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A2480"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 xml:space="preserve">EEF Teaching &amp; Learning Toolkit suggests that targeted mentoring and individual support can assist students with specific needs, to overcome personal barriers to school engagement.  </w:t>
            </w:r>
          </w:p>
          <w:p w14:paraId="4A171E49" w14:textId="77777777" w:rsidR="006D3275" w:rsidRDefault="006D3275">
            <w:pPr>
              <w:pStyle w:val="TableRowCentered"/>
              <w:jc w:val="left"/>
              <w:rPr>
                <w:rFonts w:asciiTheme="minorHAnsi" w:hAnsiTheme="minorHAnsi" w:cstheme="minorHAnsi"/>
                <w:color w:val="auto"/>
                <w:sz w:val="22"/>
                <w:szCs w:val="22"/>
              </w:rPr>
            </w:pPr>
          </w:p>
          <w:p w14:paraId="73F1C3E9"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Progress potential: 2 months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C958"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3</w:t>
            </w:r>
          </w:p>
          <w:p w14:paraId="1C39E6A6"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4</w:t>
            </w:r>
          </w:p>
        </w:tc>
      </w:tr>
      <w:tr w:rsidR="006D3275" w14:paraId="32274429"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4B02" w14:textId="77777777"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3.8</w:t>
            </w:r>
            <w:r>
              <w:rPr>
                <w:rFonts w:asciiTheme="minorHAnsi" w:hAnsiTheme="minorHAnsi" w:cstheme="minorHAnsi"/>
                <w:sz w:val="22"/>
                <w:szCs w:val="22"/>
              </w:rPr>
              <w:t xml:space="preserve"> To use individual budgets to support individualised support for PP students (ie. to ensure more equity of access to cultural activities) </w:t>
            </w:r>
          </w:p>
          <w:p w14:paraId="3FB65109" w14:textId="77777777" w:rsidR="006D3275" w:rsidRDefault="00105B07">
            <w:pPr>
              <w:pStyle w:val="TableRow"/>
              <w:rPr>
                <w:rFonts w:asciiTheme="minorHAnsi" w:hAnsiTheme="minorHAnsi" w:cstheme="minorHAnsi"/>
                <w:sz w:val="22"/>
                <w:szCs w:val="22"/>
              </w:rPr>
            </w:pPr>
            <w:r>
              <w:rPr>
                <w:rFonts w:asciiTheme="minorHAnsi" w:hAnsiTheme="minorHAnsi" w:cstheme="minorHAnsi"/>
                <w:sz w:val="22"/>
                <w:szCs w:val="22"/>
              </w:rPr>
              <w:t xml:space="preserve">Including instrument tuition (3.8.1), enrichment week and trip subsidies (3.8.2) </w:t>
            </w:r>
          </w:p>
          <w:p w14:paraId="504FA0C8" w14:textId="77777777" w:rsidR="006D3275" w:rsidRDefault="006D3275">
            <w:pPr>
              <w:pStyle w:val="TableRow"/>
              <w:rPr>
                <w:rFonts w:asciiTheme="minorHAnsi" w:hAnsiTheme="minorHAnsi" w:cstheme="minorHAnsi"/>
                <w:color w:val="FF0000"/>
                <w:sz w:val="22"/>
                <w:szCs w:val="22"/>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802AF"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EEF Teaching &amp; Learning Toolkit suggests that targeted support to enable access to arts and sports participation can have a positive impact on a child’s mental wellbeing and engagement with school.  Supports strategies to address cultural deficits, build health &amp; wellbeing and develop a positive association with school.</w:t>
            </w:r>
          </w:p>
          <w:p w14:paraId="0EEBA7E1" w14:textId="77777777" w:rsidR="006D3275" w:rsidRDefault="006D3275">
            <w:pPr>
              <w:pStyle w:val="TableRowCentered"/>
              <w:jc w:val="left"/>
              <w:rPr>
                <w:rFonts w:asciiTheme="minorHAnsi" w:hAnsiTheme="minorHAnsi" w:cstheme="minorHAnsi"/>
                <w:color w:val="auto"/>
                <w:sz w:val="22"/>
                <w:szCs w:val="22"/>
              </w:rPr>
            </w:pPr>
          </w:p>
          <w:p w14:paraId="01940DFA"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color w:val="auto"/>
                <w:sz w:val="22"/>
                <w:szCs w:val="22"/>
              </w:rPr>
              <w:t>Progress potential: 3 months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DBE1"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2</w:t>
            </w:r>
          </w:p>
          <w:p w14:paraId="2B481916" w14:textId="77777777" w:rsidR="006D3275" w:rsidRDefault="006D3275">
            <w:pPr>
              <w:pStyle w:val="TableRowCentered"/>
              <w:jc w:val="left"/>
              <w:rPr>
                <w:rFonts w:asciiTheme="minorHAnsi" w:hAnsiTheme="minorHAnsi" w:cstheme="minorHAnsi"/>
                <w:sz w:val="22"/>
                <w:szCs w:val="22"/>
              </w:rPr>
            </w:pPr>
          </w:p>
          <w:p w14:paraId="07F737E0"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5</w:t>
            </w:r>
          </w:p>
        </w:tc>
      </w:tr>
      <w:tr w:rsidR="006D3275" w14:paraId="3270855B" w14:textId="77777777">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EA86F" w14:textId="77777777" w:rsidR="006D3275" w:rsidRDefault="00105B07">
            <w:pPr>
              <w:pStyle w:val="TableRow"/>
              <w:rPr>
                <w:rFonts w:asciiTheme="minorHAnsi" w:hAnsiTheme="minorHAnsi" w:cstheme="minorHAnsi"/>
                <w:sz w:val="22"/>
                <w:szCs w:val="22"/>
              </w:rPr>
            </w:pPr>
            <w:r>
              <w:rPr>
                <w:rFonts w:asciiTheme="minorHAnsi" w:hAnsiTheme="minorHAnsi" w:cstheme="minorHAnsi"/>
                <w:b/>
                <w:bCs/>
                <w:sz w:val="22"/>
                <w:szCs w:val="22"/>
              </w:rPr>
              <w:t xml:space="preserve">3.9 </w:t>
            </w:r>
            <w:r>
              <w:rPr>
                <w:rFonts w:asciiTheme="minorHAnsi" w:hAnsiTheme="minorHAnsi" w:cstheme="minorHAnsi"/>
                <w:sz w:val="22"/>
                <w:szCs w:val="22"/>
              </w:rPr>
              <w:t>To ensure that all PP students have the stationery (3.9.1), Revision Guides (3.9.2), cooking ingredients (3.9.3) and access to breakfast club (3.9.4) required so that barriers are removed.</w:t>
            </w:r>
          </w:p>
        </w:tc>
        <w:tc>
          <w:tcPr>
            <w:tcW w:w="62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069C0" w14:textId="77777777" w:rsidR="006D3275" w:rsidRDefault="00105B07">
            <w:pPr>
              <w:pStyle w:val="TableRowCentered"/>
              <w:jc w:val="left"/>
              <w:rPr>
                <w:rFonts w:asciiTheme="minorHAnsi" w:hAnsiTheme="minorHAnsi" w:cstheme="minorHAnsi"/>
                <w:color w:val="auto"/>
                <w:sz w:val="22"/>
                <w:szCs w:val="22"/>
              </w:rPr>
            </w:pPr>
            <w:r>
              <w:rPr>
                <w:rFonts w:asciiTheme="minorHAnsi" w:hAnsiTheme="minorHAnsi" w:cstheme="minorHAnsi"/>
                <w:color w:val="auto"/>
                <w:sz w:val="22"/>
                <w:szCs w:val="22"/>
              </w:rPr>
              <w:t>It will remove barriers to learning through being ready to learn in all lessons.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5CE84" w14:textId="77777777" w:rsidR="006D3275" w:rsidRDefault="00105B07">
            <w:pPr>
              <w:pStyle w:val="TableRowCentered"/>
              <w:jc w:val="left"/>
              <w:rPr>
                <w:rFonts w:asciiTheme="minorHAnsi" w:hAnsiTheme="minorHAnsi" w:cstheme="minorHAnsi"/>
                <w:sz w:val="22"/>
                <w:szCs w:val="22"/>
              </w:rPr>
            </w:pPr>
            <w:r>
              <w:rPr>
                <w:rFonts w:asciiTheme="minorHAnsi" w:hAnsiTheme="minorHAnsi" w:cstheme="minorHAnsi"/>
                <w:sz w:val="22"/>
                <w:szCs w:val="22"/>
              </w:rPr>
              <w:t>6</w:t>
            </w:r>
          </w:p>
        </w:tc>
      </w:tr>
    </w:tbl>
    <w:p w14:paraId="21B8C103" w14:textId="77777777" w:rsidR="006D3275" w:rsidRDefault="006D3275">
      <w:pPr>
        <w:spacing w:before="240" w:after="0"/>
        <w:rPr>
          <w:b/>
          <w:bCs/>
          <w:color w:val="104F75"/>
          <w:sz w:val="20"/>
          <w:szCs w:val="20"/>
        </w:rPr>
      </w:pPr>
    </w:p>
    <w:bookmarkEnd w:id="14"/>
    <w:bookmarkEnd w:id="15"/>
    <w:bookmarkEnd w:id="16"/>
    <w:p w14:paraId="47D15878" w14:textId="4A89B650" w:rsidR="006D3275" w:rsidRDefault="006D3275">
      <w:pPr>
        <w:rPr>
          <w:sz w:val="20"/>
          <w:szCs w:val="20"/>
        </w:rPr>
      </w:pPr>
    </w:p>
    <w:p w14:paraId="2023F37B" w14:textId="1E40760D" w:rsidR="002C2E6A" w:rsidRDefault="002C2E6A">
      <w:pPr>
        <w:rPr>
          <w:sz w:val="20"/>
          <w:szCs w:val="20"/>
        </w:rPr>
      </w:pPr>
    </w:p>
    <w:p w14:paraId="29FD8553" w14:textId="7DF08841" w:rsidR="002C2E6A" w:rsidRDefault="002C2E6A">
      <w:pPr>
        <w:rPr>
          <w:sz w:val="20"/>
          <w:szCs w:val="20"/>
        </w:rPr>
      </w:pPr>
    </w:p>
    <w:p w14:paraId="0FA83448" w14:textId="42EA5BA3" w:rsidR="002C2E6A" w:rsidRDefault="002C2E6A">
      <w:pPr>
        <w:rPr>
          <w:sz w:val="20"/>
          <w:szCs w:val="20"/>
        </w:rPr>
      </w:pPr>
    </w:p>
    <w:p w14:paraId="33CA5FDF" w14:textId="75CCB7D0" w:rsidR="002C2E6A" w:rsidRDefault="002C2E6A">
      <w:pPr>
        <w:rPr>
          <w:sz w:val="20"/>
          <w:szCs w:val="20"/>
        </w:rPr>
      </w:pPr>
    </w:p>
    <w:p w14:paraId="49B4A38B" w14:textId="31F2E470" w:rsidR="002C2E6A" w:rsidRDefault="002C2E6A">
      <w:pPr>
        <w:rPr>
          <w:sz w:val="20"/>
          <w:szCs w:val="20"/>
        </w:rPr>
      </w:pPr>
    </w:p>
    <w:p w14:paraId="2BF6E342" w14:textId="77777777" w:rsidR="00E80E08" w:rsidRPr="00064366" w:rsidRDefault="00E80E08" w:rsidP="00E80E08">
      <w:pPr>
        <w:pStyle w:val="Heading1"/>
      </w:pPr>
      <w:bookmarkStart w:id="17" w:name="_GoBack"/>
      <w:bookmarkEnd w:id="17"/>
      <w:r w:rsidRPr="00064366">
        <w:lastRenderedPageBreak/>
        <w:t>Part B: Review of the previous academic year</w:t>
      </w:r>
    </w:p>
    <w:p w14:paraId="397921C9" w14:textId="77777777" w:rsidR="00E80E08" w:rsidRPr="00F82CED" w:rsidRDefault="00E80E08" w:rsidP="00E80E08">
      <w:pPr>
        <w:pStyle w:val="Heading2"/>
      </w:pPr>
      <w:r w:rsidRPr="00F82CED">
        <w:t>Outcomes for disadvantaged pupils</w:t>
      </w:r>
    </w:p>
    <w:p w14:paraId="3DD2B38E" w14:textId="7B39DB07" w:rsidR="00103263" w:rsidRPr="00F82CED" w:rsidRDefault="00C9797A" w:rsidP="00C9797A">
      <w:pPr>
        <w:rPr>
          <w:iCs/>
          <w:color w:val="auto"/>
        </w:rPr>
      </w:pPr>
      <w:r w:rsidRPr="00F82CED">
        <w:rPr>
          <w:iCs/>
          <w:color w:val="000000"/>
        </w:rPr>
        <w:t>The 40 Disadvantaged students at Chosen Hill School achieved an Attainment 8 figure of 3.8 compared to non- Disadvantaged students’ A8 score of 4.8. Non-Disadvantaged students’ progress 8 score was +0.13 compared to Disadvantaged students’ score of        -0.74 (38 students). Whilst the overall figure shows a gap, it is directly correlated to attendance. For those 30 Disadvantaged students who attended school</w:t>
      </w:r>
      <w:r w:rsidRPr="00F82CED">
        <w:rPr>
          <w:iCs/>
          <w:color w:val="auto"/>
        </w:rPr>
        <w:t xml:space="preserve"> for at least 80.1%, they achieved a Progress 8 score of -0.1. </w:t>
      </w:r>
      <w:r w:rsidR="00103263" w:rsidRPr="00F82CED">
        <w:rPr>
          <w:iCs/>
          <w:color w:val="auto"/>
        </w:rPr>
        <w:t>This is not statistically significantly different to non-disadvantaged students. For the 8 students who were below 80.1%, and in particularly 5 students who were less than 63%, progress was significantly below expectations. This pattern is repeated across curriculum areas. For those students who had attendance of 80.1% or better, progress was in statistically in line with non-disadvantaged students. Therefore</w:t>
      </w:r>
      <w:r w:rsidR="00F82CED" w:rsidRPr="00F82CED">
        <w:rPr>
          <w:iCs/>
          <w:color w:val="auto"/>
        </w:rPr>
        <w:t>,</w:t>
      </w:r>
      <w:r w:rsidR="00103263" w:rsidRPr="00F82CED">
        <w:rPr>
          <w:iCs/>
          <w:color w:val="auto"/>
        </w:rPr>
        <w:t xml:space="preserve"> those strategies that are being employed in school are closing the gap in terms of progress. Disadvantaged students who attend school at least 80% of the time are making progress in line with national expectations.  </w:t>
      </w:r>
    </w:p>
    <w:p w14:paraId="603C20C1" w14:textId="77777777" w:rsidR="00103263" w:rsidRPr="00F82CED" w:rsidRDefault="00103263" w:rsidP="00C9797A">
      <w:pPr>
        <w:rPr>
          <w:iCs/>
          <w:color w:val="auto"/>
        </w:rPr>
      </w:pPr>
      <w:r w:rsidRPr="00F82CED">
        <w:rPr>
          <w:iCs/>
          <w:color w:val="auto"/>
        </w:rPr>
        <w:t xml:space="preserve">Attendance for FSM students across the school was 84.2% last year. This was below the national average for FSM students. This was 85.3% on FFT National figures. However, it was skewed by one particular year group – year 10. This year group was very significantly below the national average. </w:t>
      </w:r>
    </w:p>
    <w:p w14:paraId="63AFFE7D" w14:textId="5A6A43BF" w:rsidR="00F82CED" w:rsidRPr="00F82CED" w:rsidRDefault="00103263" w:rsidP="00C9797A">
      <w:pPr>
        <w:rPr>
          <w:iCs/>
          <w:color w:val="auto"/>
        </w:rPr>
      </w:pPr>
      <w:r w:rsidRPr="00F82CED">
        <w:rPr>
          <w:iCs/>
          <w:color w:val="auto"/>
        </w:rPr>
        <w:t xml:space="preserve">As a result of this the </w:t>
      </w:r>
      <w:r w:rsidR="00F82CED" w:rsidRPr="00F82CED">
        <w:rPr>
          <w:iCs/>
          <w:color w:val="auto"/>
        </w:rPr>
        <w:t>3-year</w:t>
      </w:r>
      <w:r w:rsidRPr="00F82CED">
        <w:rPr>
          <w:iCs/>
          <w:color w:val="auto"/>
        </w:rPr>
        <w:t xml:space="preserve"> PP strategic plan</w:t>
      </w:r>
      <w:r w:rsidR="00F82CED" w:rsidRPr="00F82CED">
        <w:rPr>
          <w:iCs/>
          <w:color w:val="auto"/>
        </w:rPr>
        <w:t xml:space="preserve"> </w:t>
      </w:r>
      <w:r w:rsidRPr="00F82CED">
        <w:rPr>
          <w:iCs/>
          <w:color w:val="auto"/>
        </w:rPr>
        <w:t>has been adapted</w:t>
      </w:r>
      <w:r w:rsidR="00F82CED" w:rsidRPr="00F82CED">
        <w:rPr>
          <w:iCs/>
          <w:color w:val="auto"/>
        </w:rPr>
        <w:t xml:space="preserve"> to tackle attendance of disadvantaged students</w:t>
      </w:r>
      <w:r w:rsidRPr="00F82CED">
        <w:rPr>
          <w:iCs/>
          <w:color w:val="auto"/>
        </w:rPr>
        <w:t>. The employment of a Pupil Premium Manager with a particular focus on attendance</w:t>
      </w:r>
      <w:r w:rsidR="00F82CED" w:rsidRPr="00F82CED">
        <w:rPr>
          <w:iCs/>
          <w:color w:val="auto"/>
        </w:rPr>
        <w:t>,</w:t>
      </w:r>
      <w:r w:rsidRPr="00F82CED">
        <w:rPr>
          <w:iCs/>
          <w:color w:val="auto"/>
        </w:rPr>
        <w:t xml:space="preserve"> attainment </w:t>
      </w:r>
      <w:r w:rsidR="00F82CED" w:rsidRPr="00F82CED">
        <w:rPr>
          <w:iCs/>
          <w:color w:val="auto"/>
        </w:rPr>
        <w:t>and progress across all year groups and removing barriers to learning has been put in place. A further appointment of an attendance support worker has been made in 2023/24 along with significant investment in to supporting the whole school attendance strategy. Attendance of FSM students is at 88.2% in 2023/24, 4 % higher than in 2022/23. It is currently significantly higher than the national average.</w:t>
      </w:r>
      <w:r w:rsidR="00F82CED">
        <w:rPr>
          <w:iCs/>
          <w:color w:val="auto"/>
        </w:rPr>
        <w:t xml:space="preserve"> </w:t>
      </w:r>
    </w:p>
    <w:p w14:paraId="2E631F3C" w14:textId="77777777" w:rsidR="00103263" w:rsidRPr="00F82CED" w:rsidRDefault="00103263" w:rsidP="00C9797A">
      <w:pPr>
        <w:rPr>
          <w:iCs/>
          <w:color w:val="auto"/>
        </w:rPr>
      </w:pPr>
    </w:p>
    <w:sectPr w:rsidR="00103263" w:rsidRPr="00F82CED">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CF25" w14:textId="77777777" w:rsidR="00145BF2" w:rsidRDefault="00145BF2">
      <w:pPr>
        <w:spacing w:after="0" w:line="240" w:lineRule="auto"/>
      </w:pPr>
      <w:r>
        <w:separator/>
      </w:r>
    </w:p>
  </w:endnote>
  <w:endnote w:type="continuationSeparator" w:id="0">
    <w:p w14:paraId="3460059A" w14:textId="77777777" w:rsidR="00145BF2" w:rsidRDefault="0014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9BAD" w14:textId="77777777" w:rsidR="006D3275" w:rsidRDefault="00105B07">
    <w:pPr>
      <w:pStyle w:val="Footer"/>
      <w:ind w:firstLine="4513"/>
    </w:pPr>
    <w:r>
      <w:fldChar w:fldCharType="begin"/>
    </w:r>
    <w:r>
      <w:instrText xml:space="preserve"> PAGE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6F62D" w14:textId="77777777" w:rsidR="00145BF2" w:rsidRDefault="00145BF2">
      <w:pPr>
        <w:spacing w:after="0" w:line="240" w:lineRule="auto"/>
      </w:pPr>
      <w:r>
        <w:separator/>
      </w:r>
    </w:p>
  </w:footnote>
  <w:footnote w:type="continuationSeparator" w:id="0">
    <w:p w14:paraId="4BDC5E01" w14:textId="77777777" w:rsidR="00145BF2" w:rsidRDefault="00145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BC83" w14:textId="77777777" w:rsidR="006D3275" w:rsidRDefault="006D3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A7EC5"/>
    <w:multiLevelType w:val="hybridMultilevel"/>
    <w:tmpl w:val="1AB27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87D32"/>
    <w:multiLevelType w:val="hybridMultilevel"/>
    <w:tmpl w:val="C150C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20D01"/>
    <w:multiLevelType w:val="multilevel"/>
    <w:tmpl w:val="26AC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360CD"/>
    <w:multiLevelType w:val="multilevel"/>
    <w:tmpl w:val="2D4C24BE"/>
    <w:lvl w:ilvl="0">
      <w:start w:val="3"/>
      <w:numFmt w:val="decimal"/>
      <w:lvlText w:val="%1"/>
      <w:lvlJc w:val="left"/>
      <w:pPr>
        <w:ind w:left="360" w:hanging="360"/>
      </w:pPr>
      <w:rPr>
        <w:rFonts w:hint="default"/>
      </w:rPr>
    </w:lvl>
    <w:lvl w:ilvl="1">
      <w:start w:val="4"/>
      <w:numFmt w:val="decimal"/>
      <w:lvlText w:val="%1.%2"/>
      <w:lvlJc w:val="left"/>
      <w:pPr>
        <w:ind w:left="417" w:hanging="360"/>
      </w:pPr>
      <w:rPr>
        <w:rFonts w:hint="default"/>
        <w:b/>
        <w:bCs/>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4" w15:restartNumberingAfterBreak="0">
    <w:nsid w:val="12C122E2"/>
    <w:multiLevelType w:val="hybridMultilevel"/>
    <w:tmpl w:val="A2DE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E12CF8"/>
    <w:multiLevelType w:val="hybridMultilevel"/>
    <w:tmpl w:val="F1141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77675"/>
    <w:multiLevelType w:val="hybridMultilevel"/>
    <w:tmpl w:val="5E18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A90070D"/>
    <w:multiLevelType w:val="hybridMultilevel"/>
    <w:tmpl w:val="60BC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8A646B"/>
    <w:multiLevelType w:val="hybridMultilevel"/>
    <w:tmpl w:val="7108C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28437C"/>
    <w:multiLevelType w:val="hybridMultilevel"/>
    <w:tmpl w:val="913A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2EA"/>
    <w:multiLevelType w:val="hybridMultilevel"/>
    <w:tmpl w:val="5414E01C"/>
    <w:lvl w:ilvl="0" w:tplc="88C8E86A">
      <w:start w:val="18"/>
      <w:numFmt w:val="bullet"/>
      <w:lvlText w:val="-"/>
      <w:lvlJc w:val="left"/>
      <w:pPr>
        <w:ind w:left="720" w:hanging="360"/>
      </w:pPr>
      <w:rPr>
        <w:rFonts w:ascii="Calibri" w:eastAsia="Times New Roman" w:hAnsi="Calibri" w:cs="Calibr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8613E"/>
    <w:multiLevelType w:val="hybridMultilevel"/>
    <w:tmpl w:val="D2D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708FE"/>
    <w:multiLevelType w:val="hybridMultilevel"/>
    <w:tmpl w:val="63F06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4116AD"/>
    <w:multiLevelType w:val="hybridMultilevel"/>
    <w:tmpl w:val="556A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3FC17B8"/>
    <w:multiLevelType w:val="multilevel"/>
    <w:tmpl w:val="5F2EF9CC"/>
    <w:lvl w:ilvl="0">
      <w:start w:val="3"/>
      <w:numFmt w:val="decimal"/>
      <w:lvlText w:val="%1"/>
      <w:lvlJc w:val="left"/>
      <w:pPr>
        <w:ind w:left="360" w:hanging="360"/>
      </w:pPr>
      <w:rPr>
        <w:rFonts w:hint="default"/>
      </w:rPr>
    </w:lvl>
    <w:lvl w:ilvl="1">
      <w:start w:val="6"/>
      <w:numFmt w:val="decimal"/>
      <w:lvlText w:val="%1.%2"/>
      <w:lvlJc w:val="left"/>
      <w:pPr>
        <w:ind w:left="777" w:hanging="36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1971" w:hanging="72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165" w:hanging="1080"/>
      </w:pPr>
      <w:rPr>
        <w:rFonts w:hint="default"/>
      </w:rPr>
    </w:lvl>
    <w:lvl w:ilvl="6">
      <w:start w:val="1"/>
      <w:numFmt w:val="decimal"/>
      <w:lvlText w:val="%1.%2.%3.%4.%5.%6.%7"/>
      <w:lvlJc w:val="left"/>
      <w:pPr>
        <w:ind w:left="3942" w:hanging="1440"/>
      </w:pPr>
      <w:rPr>
        <w:rFonts w:hint="default"/>
      </w:rPr>
    </w:lvl>
    <w:lvl w:ilvl="7">
      <w:start w:val="1"/>
      <w:numFmt w:val="decimal"/>
      <w:lvlText w:val="%1.%2.%3.%4.%5.%6.%7.%8"/>
      <w:lvlJc w:val="left"/>
      <w:pPr>
        <w:ind w:left="4359" w:hanging="1440"/>
      </w:pPr>
      <w:rPr>
        <w:rFonts w:hint="default"/>
      </w:rPr>
    </w:lvl>
    <w:lvl w:ilvl="8">
      <w:start w:val="1"/>
      <w:numFmt w:val="decimal"/>
      <w:lvlText w:val="%1.%2.%3.%4.%5.%6.%7.%8.%9"/>
      <w:lvlJc w:val="left"/>
      <w:pPr>
        <w:ind w:left="4776" w:hanging="1440"/>
      </w:pPr>
      <w:rPr>
        <w:rFonts w:hint="default"/>
      </w:rPr>
    </w:lvl>
  </w:abstractNum>
  <w:abstractNum w:abstractNumId="24" w15:restartNumberingAfterBreak="0">
    <w:nsid w:val="673810A0"/>
    <w:multiLevelType w:val="multilevel"/>
    <w:tmpl w:val="F46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D9309A"/>
    <w:multiLevelType w:val="hybridMultilevel"/>
    <w:tmpl w:val="54C20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8" w15:restartNumberingAfterBreak="0">
    <w:nsid w:val="6C7A663D"/>
    <w:multiLevelType w:val="hybridMultilevel"/>
    <w:tmpl w:val="DFC8B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822E0C"/>
    <w:multiLevelType w:val="hybridMultilevel"/>
    <w:tmpl w:val="BFD87C94"/>
    <w:lvl w:ilvl="0" w:tplc="88C8E86A">
      <w:start w:val="18"/>
      <w:numFmt w:val="bullet"/>
      <w:lvlText w:val="-"/>
      <w:lvlJc w:val="left"/>
      <w:pPr>
        <w:ind w:left="720" w:hanging="360"/>
      </w:pPr>
      <w:rPr>
        <w:rFonts w:ascii="Calibri" w:eastAsia="Times New Roman" w:hAnsi="Calibri" w:cs="Calibr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7070F6"/>
    <w:multiLevelType w:val="hybridMultilevel"/>
    <w:tmpl w:val="B7B2CFA0"/>
    <w:lvl w:ilvl="0" w:tplc="B76AE52C">
      <w:start w:val="1"/>
      <w:numFmt w:val="bullet"/>
      <w:lvlText w:val=""/>
      <w:lvlJc w:val="left"/>
      <w:pPr>
        <w:ind w:left="720" w:hanging="360"/>
      </w:pPr>
      <w:rPr>
        <w:rFonts w:ascii="Symbol" w:hAnsi="Symbol" w:hint="default"/>
      </w:rPr>
    </w:lvl>
    <w:lvl w:ilvl="1" w:tplc="51BE7174">
      <w:start w:val="1"/>
      <w:numFmt w:val="bullet"/>
      <w:lvlText w:val="o"/>
      <w:lvlJc w:val="left"/>
      <w:pPr>
        <w:ind w:left="1440" w:hanging="360"/>
      </w:pPr>
      <w:rPr>
        <w:rFonts w:ascii="Courier New" w:hAnsi="Courier New" w:hint="default"/>
      </w:rPr>
    </w:lvl>
    <w:lvl w:ilvl="2" w:tplc="F4DC1ED0">
      <w:start w:val="1"/>
      <w:numFmt w:val="bullet"/>
      <w:lvlText w:val=""/>
      <w:lvlJc w:val="left"/>
      <w:pPr>
        <w:ind w:left="2160" w:hanging="360"/>
      </w:pPr>
      <w:rPr>
        <w:rFonts w:ascii="Wingdings" w:hAnsi="Wingdings" w:hint="default"/>
      </w:rPr>
    </w:lvl>
    <w:lvl w:ilvl="3" w:tplc="65BEC9E0">
      <w:start w:val="1"/>
      <w:numFmt w:val="bullet"/>
      <w:lvlText w:val=""/>
      <w:lvlJc w:val="left"/>
      <w:pPr>
        <w:ind w:left="2880" w:hanging="360"/>
      </w:pPr>
      <w:rPr>
        <w:rFonts w:ascii="Symbol" w:hAnsi="Symbol" w:hint="default"/>
      </w:rPr>
    </w:lvl>
    <w:lvl w:ilvl="4" w:tplc="11AC451A">
      <w:start w:val="1"/>
      <w:numFmt w:val="bullet"/>
      <w:lvlText w:val="o"/>
      <w:lvlJc w:val="left"/>
      <w:pPr>
        <w:ind w:left="3600" w:hanging="360"/>
      </w:pPr>
      <w:rPr>
        <w:rFonts w:ascii="Courier New" w:hAnsi="Courier New" w:hint="default"/>
      </w:rPr>
    </w:lvl>
    <w:lvl w:ilvl="5" w:tplc="47A63B5E">
      <w:start w:val="1"/>
      <w:numFmt w:val="bullet"/>
      <w:lvlText w:val=""/>
      <w:lvlJc w:val="left"/>
      <w:pPr>
        <w:ind w:left="4320" w:hanging="360"/>
      </w:pPr>
      <w:rPr>
        <w:rFonts w:ascii="Wingdings" w:hAnsi="Wingdings" w:hint="default"/>
      </w:rPr>
    </w:lvl>
    <w:lvl w:ilvl="6" w:tplc="D6F86D12">
      <w:start w:val="1"/>
      <w:numFmt w:val="bullet"/>
      <w:lvlText w:val=""/>
      <w:lvlJc w:val="left"/>
      <w:pPr>
        <w:ind w:left="5040" w:hanging="360"/>
      </w:pPr>
      <w:rPr>
        <w:rFonts w:ascii="Symbol" w:hAnsi="Symbol" w:hint="default"/>
      </w:rPr>
    </w:lvl>
    <w:lvl w:ilvl="7" w:tplc="CEE6C4FE">
      <w:start w:val="1"/>
      <w:numFmt w:val="bullet"/>
      <w:lvlText w:val="o"/>
      <w:lvlJc w:val="left"/>
      <w:pPr>
        <w:ind w:left="5760" w:hanging="360"/>
      </w:pPr>
      <w:rPr>
        <w:rFonts w:ascii="Courier New" w:hAnsi="Courier New" w:hint="default"/>
      </w:rPr>
    </w:lvl>
    <w:lvl w:ilvl="8" w:tplc="DC36895A">
      <w:start w:val="1"/>
      <w:numFmt w:val="bullet"/>
      <w:lvlText w:val=""/>
      <w:lvlJc w:val="left"/>
      <w:pPr>
        <w:ind w:left="6480" w:hanging="360"/>
      </w:pPr>
      <w:rPr>
        <w:rFonts w:ascii="Wingdings" w:hAnsi="Wingdings" w:hint="default"/>
      </w:rPr>
    </w:lvl>
  </w:abstractNum>
  <w:abstractNum w:abstractNumId="34" w15:restartNumberingAfterBreak="0">
    <w:nsid w:val="7F164A01"/>
    <w:multiLevelType w:val="hybridMultilevel"/>
    <w:tmpl w:val="C9CE8E6A"/>
    <w:lvl w:ilvl="0" w:tplc="88C8E86A">
      <w:start w:val="18"/>
      <w:numFmt w:val="bullet"/>
      <w:lvlText w:val="-"/>
      <w:lvlJc w:val="left"/>
      <w:pPr>
        <w:ind w:left="720" w:hanging="360"/>
      </w:pPr>
      <w:rPr>
        <w:rFonts w:ascii="Calibri" w:eastAsia="Times New Roman" w:hAnsi="Calibri" w:cs="Calibri" w:hint="default"/>
        <w:color w:val="0D0D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13"/>
  </w:num>
  <w:num w:numId="5">
    <w:abstractNumId w:val="5"/>
  </w:num>
  <w:num w:numId="6">
    <w:abstractNumId w:val="17"/>
  </w:num>
  <w:num w:numId="7">
    <w:abstractNumId w:val="25"/>
  </w:num>
  <w:num w:numId="8">
    <w:abstractNumId w:val="31"/>
  </w:num>
  <w:num w:numId="9">
    <w:abstractNumId w:val="29"/>
  </w:num>
  <w:num w:numId="10">
    <w:abstractNumId w:val="27"/>
  </w:num>
  <w:num w:numId="11">
    <w:abstractNumId w:val="9"/>
  </w:num>
  <w:num w:numId="12">
    <w:abstractNumId w:val="30"/>
  </w:num>
  <w:num w:numId="13">
    <w:abstractNumId w:val="22"/>
  </w:num>
  <w:num w:numId="14">
    <w:abstractNumId w:val="12"/>
  </w:num>
  <w:num w:numId="15">
    <w:abstractNumId w:val="7"/>
  </w:num>
  <w:num w:numId="16">
    <w:abstractNumId w:val="33"/>
  </w:num>
  <w:num w:numId="17">
    <w:abstractNumId w:val="6"/>
  </w:num>
  <w:num w:numId="18">
    <w:abstractNumId w:val="1"/>
  </w:num>
  <w:num w:numId="19">
    <w:abstractNumId w:val="14"/>
  </w:num>
  <w:num w:numId="20">
    <w:abstractNumId w:val="19"/>
  </w:num>
  <w:num w:numId="21">
    <w:abstractNumId w:val="4"/>
  </w:num>
  <w:num w:numId="22">
    <w:abstractNumId w:val="2"/>
  </w:num>
  <w:num w:numId="23">
    <w:abstractNumId w:val="20"/>
  </w:num>
  <w:num w:numId="24">
    <w:abstractNumId w:val="24"/>
  </w:num>
  <w:num w:numId="25">
    <w:abstractNumId w:val="0"/>
  </w:num>
  <w:num w:numId="26">
    <w:abstractNumId w:val="26"/>
  </w:num>
  <w:num w:numId="27">
    <w:abstractNumId w:val="28"/>
  </w:num>
  <w:num w:numId="28">
    <w:abstractNumId w:val="21"/>
  </w:num>
  <w:num w:numId="29">
    <w:abstractNumId w:val="34"/>
  </w:num>
  <w:num w:numId="30">
    <w:abstractNumId w:val="32"/>
  </w:num>
  <w:num w:numId="31">
    <w:abstractNumId w:val="16"/>
  </w:num>
  <w:num w:numId="32">
    <w:abstractNumId w:val="15"/>
  </w:num>
  <w:num w:numId="33">
    <w:abstractNumId w:val="3"/>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75"/>
    <w:rsid w:val="00103263"/>
    <w:rsid w:val="00105B07"/>
    <w:rsid w:val="00145BF2"/>
    <w:rsid w:val="001F194B"/>
    <w:rsid w:val="001F3D1F"/>
    <w:rsid w:val="00251976"/>
    <w:rsid w:val="00270FD5"/>
    <w:rsid w:val="002C2E6A"/>
    <w:rsid w:val="003444D9"/>
    <w:rsid w:val="003F64F4"/>
    <w:rsid w:val="00446342"/>
    <w:rsid w:val="004D3969"/>
    <w:rsid w:val="004F1DB4"/>
    <w:rsid w:val="005C438B"/>
    <w:rsid w:val="00626CFB"/>
    <w:rsid w:val="006D3275"/>
    <w:rsid w:val="00842E3A"/>
    <w:rsid w:val="008B03A3"/>
    <w:rsid w:val="009263F6"/>
    <w:rsid w:val="00A1640C"/>
    <w:rsid w:val="00C12DFA"/>
    <w:rsid w:val="00C92DEB"/>
    <w:rsid w:val="00C9797A"/>
    <w:rsid w:val="00CA1C20"/>
    <w:rsid w:val="00DE6ABC"/>
    <w:rsid w:val="00E36DCF"/>
    <w:rsid w:val="00E80E08"/>
    <w:rsid w:val="00EE2402"/>
    <w:rsid w:val="00F13F10"/>
    <w:rsid w:val="00F233AC"/>
    <w:rsid w:val="00F82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B444A"/>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rmalWeb">
    <w:name w:val="Normal (Web)"/>
    <w:basedOn w:val="Normal"/>
    <w:uiPriority w:val="99"/>
    <w:semiHidden/>
    <w:unhideWhenUsed/>
    <w:pPr>
      <w:suppressAutoHyphens w:val="0"/>
      <w:autoSpaceDN/>
      <w:spacing w:before="100" w:beforeAutospacing="1" w:after="100" w:afterAutospacing="1" w:line="240" w:lineRule="auto"/>
    </w:pPr>
    <w:rPr>
      <w:rFonts w:ascii="Times New Roman" w:hAnsi="Times New Roman"/>
      <w:color w:val="auto"/>
    </w:rPr>
  </w:style>
  <w:style w:type="paragraph" w:customStyle="1" w:styleId="paragraph">
    <w:name w:val="paragraph"/>
    <w:basedOn w:val="Normal"/>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style>
  <w:style w:type="paragraph" w:styleId="NoSpacing">
    <w:name w:val="No Spacing"/>
    <w:uiPriority w:val="1"/>
    <w:qFormat/>
    <w:pPr>
      <w:suppressAutoHyphens/>
    </w:pPr>
    <w:rPr>
      <w:color w:val="0D0D0D"/>
      <w:sz w:val="24"/>
      <w:szCs w:val="24"/>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E36DCF"/>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1943">
      <w:bodyDiv w:val="1"/>
      <w:marLeft w:val="0"/>
      <w:marRight w:val="0"/>
      <w:marTop w:val="0"/>
      <w:marBottom w:val="0"/>
      <w:divBdr>
        <w:top w:val="none" w:sz="0" w:space="0" w:color="auto"/>
        <w:left w:val="none" w:sz="0" w:space="0" w:color="auto"/>
        <w:bottom w:val="none" w:sz="0" w:space="0" w:color="auto"/>
        <w:right w:val="none" w:sz="0" w:space="0" w:color="auto"/>
      </w:divBdr>
    </w:div>
    <w:div w:id="276641498">
      <w:bodyDiv w:val="1"/>
      <w:marLeft w:val="0"/>
      <w:marRight w:val="0"/>
      <w:marTop w:val="0"/>
      <w:marBottom w:val="0"/>
      <w:divBdr>
        <w:top w:val="none" w:sz="0" w:space="0" w:color="auto"/>
        <w:left w:val="none" w:sz="0" w:space="0" w:color="auto"/>
        <w:bottom w:val="none" w:sz="0" w:space="0" w:color="auto"/>
        <w:right w:val="none" w:sz="0" w:space="0" w:color="auto"/>
      </w:divBdr>
    </w:div>
    <w:div w:id="386341610">
      <w:bodyDiv w:val="1"/>
      <w:marLeft w:val="0"/>
      <w:marRight w:val="0"/>
      <w:marTop w:val="0"/>
      <w:marBottom w:val="0"/>
      <w:divBdr>
        <w:top w:val="none" w:sz="0" w:space="0" w:color="auto"/>
        <w:left w:val="none" w:sz="0" w:space="0" w:color="auto"/>
        <w:bottom w:val="none" w:sz="0" w:space="0" w:color="auto"/>
        <w:right w:val="none" w:sz="0" w:space="0" w:color="auto"/>
      </w:divBdr>
      <w:divsChild>
        <w:div w:id="1544755189">
          <w:marLeft w:val="0"/>
          <w:marRight w:val="0"/>
          <w:marTop w:val="0"/>
          <w:marBottom w:val="0"/>
          <w:divBdr>
            <w:top w:val="none" w:sz="0" w:space="0" w:color="auto"/>
            <w:left w:val="none" w:sz="0" w:space="0" w:color="auto"/>
            <w:bottom w:val="none" w:sz="0" w:space="0" w:color="auto"/>
            <w:right w:val="none" w:sz="0" w:space="0" w:color="auto"/>
          </w:divBdr>
        </w:div>
      </w:divsChild>
    </w:div>
    <w:div w:id="532428805">
      <w:bodyDiv w:val="1"/>
      <w:marLeft w:val="0"/>
      <w:marRight w:val="0"/>
      <w:marTop w:val="0"/>
      <w:marBottom w:val="0"/>
      <w:divBdr>
        <w:top w:val="none" w:sz="0" w:space="0" w:color="auto"/>
        <w:left w:val="none" w:sz="0" w:space="0" w:color="auto"/>
        <w:bottom w:val="none" w:sz="0" w:space="0" w:color="auto"/>
        <w:right w:val="none" w:sz="0" w:space="0" w:color="auto"/>
      </w:divBdr>
    </w:div>
    <w:div w:id="618293413">
      <w:bodyDiv w:val="1"/>
      <w:marLeft w:val="0"/>
      <w:marRight w:val="0"/>
      <w:marTop w:val="0"/>
      <w:marBottom w:val="0"/>
      <w:divBdr>
        <w:top w:val="none" w:sz="0" w:space="0" w:color="auto"/>
        <w:left w:val="none" w:sz="0" w:space="0" w:color="auto"/>
        <w:bottom w:val="none" w:sz="0" w:space="0" w:color="auto"/>
        <w:right w:val="none" w:sz="0" w:space="0" w:color="auto"/>
      </w:divBdr>
    </w:div>
    <w:div w:id="781650355">
      <w:bodyDiv w:val="1"/>
      <w:marLeft w:val="0"/>
      <w:marRight w:val="0"/>
      <w:marTop w:val="0"/>
      <w:marBottom w:val="0"/>
      <w:divBdr>
        <w:top w:val="none" w:sz="0" w:space="0" w:color="auto"/>
        <w:left w:val="none" w:sz="0" w:space="0" w:color="auto"/>
        <w:bottom w:val="none" w:sz="0" w:space="0" w:color="auto"/>
        <w:right w:val="none" w:sz="0" w:space="0" w:color="auto"/>
      </w:divBdr>
    </w:div>
    <w:div w:id="1061245605">
      <w:bodyDiv w:val="1"/>
      <w:marLeft w:val="0"/>
      <w:marRight w:val="0"/>
      <w:marTop w:val="0"/>
      <w:marBottom w:val="0"/>
      <w:divBdr>
        <w:top w:val="none" w:sz="0" w:space="0" w:color="auto"/>
        <w:left w:val="none" w:sz="0" w:space="0" w:color="auto"/>
        <w:bottom w:val="none" w:sz="0" w:space="0" w:color="auto"/>
        <w:right w:val="none" w:sz="0" w:space="0" w:color="auto"/>
      </w:divBdr>
    </w:div>
    <w:div w:id="1621257273">
      <w:bodyDiv w:val="1"/>
      <w:marLeft w:val="0"/>
      <w:marRight w:val="0"/>
      <w:marTop w:val="0"/>
      <w:marBottom w:val="0"/>
      <w:divBdr>
        <w:top w:val="none" w:sz="0" w:space="0" w:color="auto"/>
        <w:left w:val="none" w:sz="0" w:space="0" w:color="auto"/>
        <w:bottom w:val="none" w:sz="0" w:space="0" w:color="auto"/>
        <w:right w:val="none" w:sz="0" w:space="0" w:color="auto"/>
      </w:divBdr>
    </w:div>
    <w:div w:id="1674839208">
      <w:bodyDiv w:val="1"/>
      <w:marLeft w:val="0"/>
      <w:marRight w:val="0"/>
      <w:marTop w:val="0"/>
      <w:marBottom w:val="0"/>
      <w:divBdr>
        <w:top w:val="none" w:sz="0" w:space="0" w:color="auto"/>
        <w:left w:val="none" w:sz="0" w:space="0" w:color="auto"/>
        <w:bottom w:val="none" w:sz="0" w:space="0" w:color="auto"/>
        <w:right w:val="none" w:sz="0" w:space="0" w:color="auto"/>
      </w:divBdr>
    </w:div>
    <w:div w:id="1722291743">
      <w:bodyDiv w:val="1"/>
      <w:marLeft w:val="0"/>
      <w:marRight w:val="0"/>
      <w:marTop w:val="0"/>
      <w:marBottom w:val="0"/>
      <w:divBdr>
        <w:top w:val="none" w:sz="0" w:space="0" w:color="auto"/>
        <w:left w:val="none" w:sz="0" w:space="0" w:color="auto"/>
        <w:bottom w:val="none" w:sz="0" w:space="0" w:color="auto"/>
        <w:right w:val="none" w:sz="0" w:space="0" w:color="auto"/>
      </w:divBdr>
    </w:div>
    <w:div w:id="1993752049">
      <w:bodyDiv w:val="1"/>
      <w:marLeft w:val="0"/>
      <w:marRight w:val="0"/>
      <w:marTop w:val="0"/>
      <w:marBottom w:val="0"/>
      <w:divBdr>
        <w:top w:val="none" w:sz="0" w:space="0" w:color="auto"/>
        <w:left w:val="none" w:sz="0" w:space="0" w:color="auto"/>
        <w:bottom w:val="none" w:sz="0" w:space="0" w:color="auto"/>
        <w:right w:val="none" w:sz="0" w:space="0" w:color="auto"/>
      </w:divBdr>
    </w:div>
    <w:div w:id="2019578492">
      <w:bodyDiv w:val="1"/>
      <w:marLeft w:val="0"/>
      <w:marRight w:val="0"/>
      <w:marTop w:val="0"/>
      <w:marBottom w:val="0"/>
      <w:divBdr>
        <w:top w:val="none" w:sz="0" w:space="0" w:color="auto"/>
        <w:left w:val="none" w:sz="0" w:space="0" w:color="auto"/>
        <w:bottom w:val="none" w:sz="0" w:space="0" w:color="auto"/>
        <w:right w:val="none" w:sz="0" w:space="0" w:color="auto"/>
      </w:divBdr>
      <w:divsChild>
        <w:div w:id="15958176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resentations/Publications/Careers_Education_summary_infograph.pdf" TargetMode="External"/><Relationship Id="rId3" Type="http://schemas.openxmlformats.org/officeDocument/2006/relationships/settings" Target="settings.xml"/><Relationship Id="rId7" Type="http://schemas.openxmlformats.org/officeDocument/2006/relationships/hyperlink" Target="https://www.educationdevelopmenttrust.com/our-research-and-insights/commentary/bridging-the-digital-divide-evidence-and-advice-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11</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 Witham</cp:lastModifiedBy>
  <cp:revision>9</cp:revision>
  <cp:lastPrinted>2021-11-17T09:37:00Z</cp:lastPrinted>
  <dcterms:created xsi:type="dcterms:W3CDTF">2023-11-23T18:53:00Z</dcterms:created>
  <dcterms:modified xsi:type="dcterms:W3CDTF">2023-12-19T15:14:00Z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